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000E" w:rsidRDefault="009E1511">
      <w:pPr>
        <w:rPr>
          <w:rFonts w:ascii="Calibri" w:eastAsia="Calibri" w:hAnsi="Calibri" w:cs="Calibri"/>
        </w:rPr>
      </w:pPr>
      <w:r w:rsidRPr="002005E4">
        <w:rPr>
          <w:rFonts w:ascii="Times New Roman" w:hAnsi="Times New Roman"/>
          <w:noProof/>
          <w:szCs w:val="24"/>
        </w:rPr>
        <w:drawing>
          <wp:inline distT="0" distB="0" distL="0" distR="0">
            <wp:extent cx="2971800" cy="1028700"/>
            <wp:effectExtent l="0" t="0" r="0" b="0"/>
            <wp:docPr id="1" name="Billed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 descr="logo"/>
                    <pic:cNvPicPr>
                      <a:picLocks noChangeAspect="1" noChangeArrowheads="1"/>
                    </pic:cNvPicPr>
                  </pic:nvPicPr>
                  <pic:blipFill>
                    <a:blip r:embed="rId5" cstate="print">
                      <a:extLst>
                        <a:ext uri="{28A0092B-C50C-407E-A947-70E740481C1C}">
                          <a14:useLocalDpi xmlns:a14="http://schemas.microsoft.com/office/drawing/2010/main" val="0"/>
                        </a:ext>
                      </a:extLst>
                    </a:blip>
                    <a:srcRect l="5000" t="12381"/>
                    <a:stretch>
                      <a:fillRect/>
                    </a:stretch>
                  </pic:blipFill>
                  <pic:spPr bwMode="auto">
                    <a:xfrm>
                      <a:off x="0" y="0"/>
                      <a:ext cx="2971800" cy="1028700"/>
                    </a:xfrm>
                    <a:prstGeom prst="rect">
                      <a:avLst/>
                    </a:prstGeom>
                    <a:noFill/>
                    <a:ln>
                      <a:noFill/>
                    </a:ln>
                  </pic:spPr>
                </pic:pic>
              </a:graphicData>
            </a:graphic>
          </wp:inline>
        </w:drawing>
      </w:r>
    </w:p>
    <w:p w:rsidR="009E1511" w:rsidRDefault="009E1511">
      <w:pPr>
        <w:rPr>
          <w:rFonts w:ascii="Calibri" w:eastAsia="Calibri" w:hAnsi="Calibri" w:cs="Calibri"/>
        </w:rPr>
      </w:pPr>
      <w:r>
        <w:rPr>
          <w:rFonts w:ascii="Calibri" w:eastAsia="Calibri" w:hAnsi="Calibri" w:cs="Calibri"/>
        </w:rPr>
        <w:t>Februar 2018</w:t>
      </w:r>
    </w:p>
    <w:p w:rsidR="0024000E" w:rsidRDefault="00540AA6">
      <w:pPr>
        <w:rPr>
          <w:rFonts w:ascii="Calibri" w:eastAsia="Calibri" w:hAnsi="Calibri" w:cs="Calibri"/>
          <w:b/>
          <w:sz w:val="28"/>
        </w:rPr>
      </w:pPr>
      <w:r>
        <w:rPr>
          <w:rFonts w:ascii="Calibri" w:eastAsia="Calibri" w:hAnsi="Calibri" w:cs="Calibri"/>
          <w:b/>
          <w:sz w:val="28"/>
        </w:rPr>
        <w:t>Kommuner kan bidrage til at styrke bredbånds- og mobildækningen</w:t>
      </w:r>
    </w:p>
    <w:p w:rsidR="0024000E" w:rsidRDefault="00540AA6">
      <w:pPr>
        <w:rPr>
          <w:rFonts w:ascii="Calibri" w:eastAsia="Calibri" w:hAnsi="Calibri" w:cs="Calibri"/>
        </w:rPr>
      </w:pPr>
      <w:r>
        <w:rPr>
          <w:rFonts w:ascii="Calibri" w:eastAsia="Calibri" w:hAnsi="Calibri" w:cs="Calibri"/>
        </w:rPr>
        <w:t xml:space="preserve">Vi er i Danmark nået meget langt med udrulningen af den digitale infrastruktur. Det gælder både for mobildækningen og for bredbånd, at vi generelt har en meget høj tilgængelighed og en veludbygget infrastruktur. </w:t>
      </w:r>
    </w:p>
    <w:p w:rsidR="0024000E" w:rsidRDefault="00540AA6">
      <w:pPr>
        <w:rPr>
          <w:rFonts w:ascii="Calibri" w:eastAsia="Calibri" w:hAnsi="Calibri" w:cs="Calibri"/>
        </w:rPr>
      </w:pPr>
      <w:r>
        <w:rPr>
          <w:rFonts w:ascii="Calibri" w:eastAsia="Calibri" w:hAnsi="Calibri" w:cs="Calibri"/>
        </w:rPr>
        <w:t>Men ikke alle steder er der endnu en infras</w:t>
      </w:r>
      <w:r>
        <w:rPr>
          <w:rFonts w:ascii="Calibri" w:eastAsia="Calibri" w:hAnsi="Calibri" w:cs="Calibri"/>
        </w:rPr>
        <w:t xml:space="preserve">truktur, der møder brugernes behov og ønsker om hastigheder, og ikke alle steder er der fuld dækning fra mobilnettene. </w:t>
      </w:r>
    </w:p>
    <w:p w:rsidR="0024000E" w:rsidRDefault="00540AA6">
      <w:pPr>
        <w:rPr>
          <w:rFonts w:ascii="Calibri" w:eastAsia="Calibri" w:hAnsi="Calibri" w:cs="Calibri"/>
        </w:rPr>
      </w:pPr>
      <w:r>
        <w:rPr>
          <w:rFonts w:ascii="Calibri" w:eastAsia="Calibri" w:hAnsi="Calibri" w:cs="Calibri"/>
        </w:rPr>
        <w:t>Mange kommuner efterspørger derfor viden om, hvad man kan gøre for at styrke den lokale dækning – både når det drejer sig om bredbånd, o</w:t>
      </w:r>
      <w:r>
        <w:rPr>
          <w:rFonts w:ascii="Calibri" w:eastAsia="Calibri" w:hAnsi="Calibri" w:cs="Calibri"/>
        </w:rPr>
        <w:t>g når det drejer sig om mobildækning.</w:t>
      </w:r>
    </w:p>
    <w:p w:rsidR="0024000E" w:rsidRDefault="00540AA6">
      <w:pPr>
        <w:rPr>
          <w:rFonts w:ascii="Calibri" w:eastAsia="Calibri" w:hAnsi="Calibri" w:cs="Calibri"/>
        </w:rPr>
      </w:pPr>
      <w:r>
        <w:rPr>
          <w:rFonts w:ascii="Calibri" w:eastAsia="Calibri" w:hAnsi="Calibri" w:cs="Calibri"/>
        </w:rPr>
        <w:t xml:space="preserve">Energistyrelsen har for at imødekomme dette behov udarbejdet en ”Guide til bedre mobil- og bredbåndsdækning”. Guiden kan findes her: </w:t>
      </w:r>
      <w:hyperlink r:id="rId6">
        <w:r>
          <w:rPr>
            <w:rFonts w:ascii="Calibri" w:eastAsia="Calibri" w:hAnsi="Calibri" w:cs="Calibri"/>
            <w:color w:val="0000FF"/>
            <w:u w:val="single"/>
          </w:rPr>
          <w:t>https://ens.dk/ansvarsomraader/bredbaand/guide-til-bedre-mobil-og-bredbaandsdaekning</w:t>
        </w:r>
      </w:hyperlink>
    </w:p>
    <w:p w:rsidR="0024000E" w:rsidRDefault="00540AA6">
      <w:pPr>
        <w:rPr>
          <w:rFonts w:ascii="Calibri" w:eastAsia="Calibri" w:hAnsi="Calibri" w:cs="Calibri"/>
        </w:rPr>
      </w:pPr>
      <w:r>
        <w:rPr>
          <w:rFonts w:ascii="Calibri" w:eastAsia="Calibri" w:hAnsi="Calibri" w:cs="Calibri"/>
        </w:rPr>
        <w:t>Udbygningen af mobil- og bredbåndsdækningen i Danmark er stærkt afhængig af, at der er et godt og konstruktivt samarbejde mellem branchens aktører og la</w:t>
      </w:r>
      <w:r>
        <w:rPr>
          <w:rFonts w:ascii="Calibri" w:eastAsia="Calibri" w:hAnsi="Calibri" w:cs="Calibri"/>
        </w:rPr>
        <w:t xml:space="preserve">ndets kommuner. Kommunerne spiller en vigtig rolle både som myndighed, der håndterer administrationen på graveområdet og udsteder gravetilladelser, håndterer ansøgninger om etablering af mobilmaster og mobilantenner og udlejer jord og arealer til brug for </w:t>
      </w:r>
      <w:r>
        <w:rPr>
          <w:rFonts w:ascii="Calibri" w:eastAsia="Calibri" w:hAnsi="Calibri" w:cs="Calibri"/>
        </w:rPr>
        <w:t>den digitale infrastruktur i kommunen.</w:t>
      </w:r>
    </w:p>
    <w:p w:rsidR="0024000E" w:rsidRDefault="00540AA6">
      <w:pPr>
        <w:rPr>
          <w:rFonts w:ascii="Calibri" w:eastAsia="Calibri" w:hAnsi="Calibri" w:cs="Calibri"/>
        </w:rPr>
      </w:pPr>
      <w:r>
        <w:rPr>
          <w:rFonts w:ascii="Calibri" w:eastAsia="Calibri" w:hAnsi="Calibri" w:cs="Calibri"/>
        </w:rPr>
        <w:t>Der er behov for løbende udbygninger af infrastrukturen – også i områder, der i dag synes velforsynet. Det handler derfor for kommunerne i høj grad om at skabe gode betingelser for udbygningen af dækningen og kapacite</w:t>
      </w:r>
      <w:r>
        <w:rPr>
          <w:rFonts w:ascii="Calibri" w:eastAsia="Calibri" w:hAnsi="Calibri" w:cs="Calibri"/>
        </w:rPr>
        <w:t>ten i nettene og udbygning med nye teknologier for at imødekomme brugernes voksende efterspørgsel.</w:t>
      </w:r>
    </w:p>
    <w:p w:rsidR="0024000E" w:rsidRDefault="00540AA6">
      <w:pPr>
        <w:rPr>
          <w:rFonts w:ascii="Calibri" w:eastAsia="Calibri" w:hAnsi="Calibri" w:cs="Calibri"/>
        </w:rPr>
      </w:pPr>
      <w:r>
        <w:rPr>
          <w:rFonts w:ascii="Calibri" w:eastAsia="Calibri" w:hAnsi="Calibri" w:cs="Calibri"/>
        </w:rPr>
        <w:t xml:space="preserve">Det er vigtigt, at der alle steder i landet er attraktive vilkår for udrulning af den digitale infrastruktur, og at der i fokus på at rydde barrierer væk og </w:t>
      </w:r>
      <w:r>
        <w:rPr>
          <w:rFonts w:ascii="Calibri" w:eastAsia="Calibri" w:hAnsi="Calibri" w:cs="Calibri"/>
        </w:rPr>
        <w:t>reducere omkostningerne ved udbygning af infrastrukturen.</w:t>
      </w:r>
    </w:p>
    <w:p w:rsidR="0024000E" w:rsidRDefault="00540AA6">
      <w:pPr>
        <w:rPr>
          <w:rFonts w:ascii="Calibri" w:eastAsia="Calibri" w:hAnsi="Calibri" w:cs="Calibri"/>
        </w:rPr>
      </w:pPr>
      <w:r>
        <w:rPr>
          <w:rFonts w:ascii="Calibri" w:eastAsia="Calibri" w:hAnsi="Calibri" w:cs="Calibri"/>
        </w:rPr>
        <w:t>Med udgangspunkt i Energistyrelsens guide og vejledning til kommunerne har Teleindustrien i det følgende skitseret, hvordan telebranchen gerne ser samarbejdet med kommunerne som grundlag for en bedr</w:t>
      </w:r>
      <w:r>
        <w:rPr>
          <w:rFonts w:ascii="Calibri" w:eastAsia="Calibri" w:hAnsi="Calibri" w:cs="Calibri"/>
        </w:rPr>
        <w:t>e og mere effektiv udrulning af både bredbånd og mobildækning i Danmark. I punktform skitseres, hvilke skridt en kommune kan tage for fremadrettet at skabe grundlaget for en mere veludbygget og fremtidssikret digital infrastruktur.</w:t>
      </w:r>
    </w:p>
    <w:p w:rsidR="0024000E" w:rsidRDefault="00540AA6">
      <w:pPr>
        <w:numPr>
          <w:ilvl w:val="0"/>
          <w:numId w:val="1"/>
        </w:numPr>
        <w:ind w:left="720" w:hanging="360"/>
        <w:rPr>
          <w:rFonts w:ascii="Calibri" w:eastAsia="Calibri" w:hAnsi="Calibri" w:cs="Calibri"/>
          <w:b/>
        </w:rPr>
      </w:pPr>
      <w:r>
        <w:rPr>
          <w:rFonts w:ascii="Calibri" w:eastAsia="Calibri" w:hAnsi="Calibri" w:cs="Calibri"/>
          <w:b/>
        </w:rPr>
        <w:t>Fjerne barrierer og redu</w:t>
      </w:r>
      <w:r>
        <w:rPr>
          <w:rFonts w:ascii="Calibri" w:eastAsia="Calibri" w:hAnsi="Calibri" w:cs="Calibri"/>
          <w:b/>
        </w:rPr>
        <w:t>cere omkostninger</w:t>
      </w:r>
    </w:p>
    <w:p w:rsidR="0024000E" w:rsidRDefault="00540AA6">
      <w:pPr>
        <w:ind w:left="720"/>
        <w:rPr>
          <w:rFonts w:ascii="Calibri" w:eastAsia="Calibri" w:hAnsi="Calibri" w:cs="Calibri"/>
        </w:rPr>
      </w:pPr>
      <w:r>
        <w:rPr>
          <w:rFonts w:ascii="Calibri" w:eastAsia="Calibri" w:hAnsi="Calibri" w:cs="Calibri"/>
        </w:rPr>
        <w:t>Teleselskaber oplever, at der på tværs af kommuner kan være meget forskelligartede procedurer og vilkår på både graveområdet og masteområdet, og at der i kommuners administration og praksis kan være barrierer for en effektiv udbygning. Te</w:t>
      </w:r>
      <w:r>
        <w:rPr>
          <w:rFonts w:ascii="Calibri" w:eastAsia="Calibri" w:hAnsi="Calibri" w:cs="Calibri"/>
        </w:rPr>
        <w:t xml:space="preserve">leindustrien anbefaler derfor, at der i alle regioner på tværs af kommuner tages initiativ til at sikre et mere ensartet administrationsgrundlag på både </w:t>
      </w:r>
      <w:r>
        <w:rPr>
          <w:rFonts w:ascii="Calibri" w:eastAsia="Calibri" w:hAnsi="Calibri" w:cs="Calibri"/>
        </w:rPr>
        <w:lastRenderedPageBreak/>
        <w:t>graveområdet og masteområdet i form af fælles politikker, og at der tages initiativ til på tværs af kom</w:t>
      </w:r>
      <w:r>
        <w:rPr>
          <w:rFonts w:ascii="Calibri" w:eastAsia="Calibri" w:hAnsi="Calibri" w:cs="Calibri"/>
        </w:rPr>
        <w:t xml:space="preserve">muner at anvende samme grundlag for beregning af arealleje til den digitale infrastruktur. Konkret anbefales kommuner at anvende model 1 i Energistyrelsens vejledning om fastsættelse af markedsleje </w:t>
      </w:r>
      <w:hyperlink r:id="rId7">
        <w:r>
          <w:rPr>
            <w:rFonts w:ascii="Calibri" w:eastAsia="Calibri" w:hAnsi="Calibri" w:cs="Calibri"/>
            <w:color w:val="0000FF"/>
            <w:u w:val="single"/>
          </w:rPr>
          <w:t>https://ens.dk/sites/ens.dk/files/Tele/vejledning_om_markedsleje_version_2015.pdf</w:t>
        </w:r>
      </w:hyperlink>
      <w:r>
        <w:rPr>
          <w:rFonts w:ascii="Calibri" w:eastAsia="Calibri" w:hAnsi="Calibri" w:cs="Calibri"/>
        </w:rPr>
        <w:t xml:space="preserve"> Denne model tager udgangspunkt i den offentlige vurdering af et areal eller facilitet, som et objektivt grundlag for lejefastsættel</w:t>
      </w:r>
      <w:r>
        <w:rPr>
          <w:rFonts w:ascii="Calibri" w:eastAsia="Calibri" w:hAnsi="Calibri" w:cs="Calibri"/>
        </w:rPr>
        <w:t xml:space="preserve">sen. Både i Region Sjælland og i Nordjylland er der taget initiativer til udarbejdelse af fælles grave- og mastepolitikker og anbefalinger om anvendelse af model 1 i Energistyrelsens vejledning. </w:t>
      </w:r>
    </w:p>
    <w:p w:rsidR="0024000E" w:rsidRDefault="00540AA6">
      <w:pPr>
        <w:numPr>
          <w:ilvl w:val="0"/>
          <w:numId w:val="2"/>
        </w:numPr>
        <w:ind w:left="720" w:hanging="360"/>
        <w:rPr>
          <w:rFonts w:ascii="Calibri" w:eastAsia="Calibri" w:hAnsi="Calibri" w:cs="Calibri"/>
          <w:b/>
        </w:rPr>
      </w:pPr>
      <w:r>
        <w:rPr>
          <w:rFonts w:ascii="Calibri" w:eastAsia="Calibri" w:hAnsi="Calibri" w:cs="Calibri"/>
          <w:b/>
        </w:rPr>
        <w:t xml:space="preserve">Offentlig understøttelse af bredbånds- og mobiludbygningen </w:t>
      </w:r>
    </w:p>
    <w:p w:rsidR="0024000E" w:rsidRDefault="00540AA6">
      <w:pPr>
        <w:ind w:left="720"/>
        <w:rPr>
          <w:rFonts w:ascii="Calibri" w:eastAsia="Calibri" w:hAnsi="Calibri" w:cs="Calibri"/>
        </w:rPr>
      </w:pPr>
      <w:r>
        <w:rPr>
          <w:rFonts w:ascii="Calibri" w:eastAsia="Calibri" w:hAnsi="Calibri" w:cs="Calibri"/>
        </w:rPr>
        <w:t>Kommunerne har en række redskaber, der kan bidrage til at stimulere udbygningen af den digitale infrastruktur.</w:t>
      </w:r>
    </w:p>
    <w:p w:rsidR="0024000E" w:rsidRDefault="00540AA6">
      <w:pPr>
        <w:numPr>
          <w:ilvl w:val="0"/>
          <w:numId w:val="3"/>
        </w:numPr>
        <w:ind w:left="1440" w:hanging="360"/>
        <w:rPr>
          <w:rFonts w:ascii="Calibri" w:eastAsia="Calibri" w:hAnsi="Calibri" w:cs="Calibri"/>
          <w:b/>
        </w:rPr>
      </w:pPr>
      <w:r>
        <w:rPr>
          <w:rFonts w:ascii="Calibri" w:eastAsia="Calibri" w:hAnsi="Calibri" w:cs="Calibri"/>
          <w:b/>
        </w:rPr>
        <w:t>Bygge bro mellem marked og borgerne - understøtte lokale initiativer</w:t>
      </w:r>
    </w:p>
    <w:p w:rsidR="0024000E" w:rsidRDefault="00540AA6">
      <w:pPr>
        <w:ind w:left="1440"/>
        <w:rPr>
          <w:rFonts w:ascii="Calibri" w:eastAsia="Calibri" w:hAnsi="Calibri" w:cs="Calibri"/>
        </w:rPr>
      </w:pPr>
      <w:r>
        <w:rPr>
          <w:rFonts w:ascii="Calibri" w:eastAsia="Calibri" w:hAnsi="Calibri" w:cs="Calibri"/>
        </w:rPr>
        <w:t>I mange tilfælde er udbygning af infrastrukturen afhængig af, om der er et t</w:t>
      </w:r>
      <w:r>
        <w:rPr>
          <w:rFonts w:ascii="Calibri" w:eastAsia="Calibri" w:hAnsi="Calibri" w:cs="Calibri"/>
        </w:rPr>
        <w:t>ilstrækkeligt antal kunder, der ønsker en ny løsning. Kommuner kan bidrage til at hjælpe lokale initiativer med at mobilisere interesse. Og kommunen kan bidrage til at skabe synlighed om lokale initiativer og efterspørgslen efter nye bredbåndsløsninger ove</w:t>
      </w:r>
      <w:r>
        <w:rPr>
          <w:rFonts w:ascii="Calibri" w:eastAsia="Calibri" w:hAnsi="Calibri" w:cs="Calibri"/>
        </w:rPr>
        <w:t>r for markedets aktører. Et godt eksempel på, hvordan dette kan gøres er Guldborgsund Kommune, der har etableret en digital platform, hvor lokale projekter kan synliggøre deres initiativ, skabe opbakning og synliggøre sig over for bredbåndsudbydere. Læs me</w:t>
      </w:r>
      <w:r>
        <w:rPr>
          <w:rFonts w:ascii="Calibri" w:eastAsia="Calibri" w:hAnsi="Calibri" w:cs="Calibri"/>
        </w:rPr>
        <w:t xml:space="preserve">re om dette initiativ her: </w:t>
      </w:r>
      <w:hyperlink r:id="rId8">
        <w:r>
          <w:rPr>
            <w:rFonts w:ascii="Calibri" w:eastAsia="Calibri" w:hAnsi="Calibri" w:cs="Calibri"/>
            <w:color w:val="0000FF"/>
            <w:u w:val="single"/>
          </w:rPr>
          <w:t>http://www.guldborgsund.dk/da/Borger/UDVIKLING_I_KOMMUNEN/Projekter/Bedre_bredbaand.aspx</w:t>
        </w:r>
      </w:hyperlink>
      <w:r>
        <w:rPr>
          <w:rFonts w:ascii="Calibri" w:eastAsia="Calibri" w:hAnsi="Calibri" w:cs="Calibri"/>
        </w:rPr>
        <w:t xml:space="preserve"> </w:t>
      </w:r>
    </w:p>
    <w:p w:rsidR="0024000E" w:rsidRDefault="00540AA6">
      <w:pPr>
        <w:ind w:left="1440"/>
        <w:rPr>
          <w:rFonts w:ascii="Calibri" w:eastAsia="Calibri" w:hAnsi="Calibri" w:cs="Calibri"/>
        </w:rPr>
      </w:pPr>
      <w:r>
        <w:rPr>
          <w:rFonts w:ascii="Calibri" w:eastAsia="Calibri" w:hAnsi="Calibri" w:cs="Calibri"/>
        </w:rPr>
        <w:t>I forbindelse med denne type aktivitet er det helt centralt, at kommunen holder sig teknologineutral og stiller alle aktører på markedet lige. Endvidere er det nødvendigt i forbindelse med aktiviteter, der vedrører mobilisering af interesse for nye bredbån</w:t>
      </w:r>
      <w:r>
        <w:rPr>
          <w:rFonts w:ascii="Calibri" w:eastAsia="Calibri" w:hAnsi="Calibri" w:cs="Calibri"/>
        </w:rPr>
        <w:t>dsprojekter, at være meget opmærksom på dørsalgsloven og respektere denne. Tiltag til at bygge bro mellem markedet og borgerne, der ønsker nye bredbåndsløsninger kan også ses i sammenhæng med forskellige selskabers egne bredbåndspuljer og landdistriktsinit</w:t>
      </w:r>
      <w:r>
        <w:rPr>
          <w:rFonts w:ascii="Calibri" w:eastAsia="Calibri" w:hAnsi="Calibri" w:cs="Calibri"/>
        </w:rPr>
        <w:t xml:space="preserve">iativer, hvor realiseringen af et projekt er afhængig af et minimum antal tilslutninger. </w:t>
      </w:r>
    </w:p>
    <w:p w:rsidR="0024000E" w:rsidRDefault="00540AA6">
      <w:pPr>
        <w:numPr>
          <w:ilvl w:val="0"/>
          <w:numId w:val="4"/>
        </w:numPr>
        <w:ind w:left="1440" w:hanging="360"/>
        <w:rPr>
          <w:rFonts w:ascii="Calibri" w:eastAsia="Calibri" w:hAnsi="Calibri" w:cs="Calibri"/>
          <w:b/>
        </w:rPr>
      </w:pPr>
      <w:r>
        <w:rPr>
          <w:rFonts w:ascii="Calibri" w:eastAsia="Calibri" w:hAnsi="Calibri" w:cs="Calibri"/>
          <w:b/>
        </w:rPr>
        <w:t>Statens bredbåndspulje</w:t>
      </w:r>
    </w:p>
    <w:p w:rsidR="0024000E" w:rsidRDefault="00540AA6">
      <w:pPr>
        <w:ind w:left="1440"/>
        <w:rPr>
          <w:rFonts w:ascii="Calibri" w:eastAsia="Calibri" w:hAnsi="Calibri" w:cs="Calibri"/>
        </w:rPr>
      </w:pPr>
      <w:r>
        <w:rPr>
          <w:rFonts w:ascii="Calibri" w:eastAsia="Calibri" w:hAnsi="Calibri" w:cs="Calibri"/>
        </w:rPr>
        <w:t>Projekter, der forbereder sig og søger bredbåndspuljen, har ved denne aktivitet skabt markant forbedrede muligheder for at opnå nye bredbåndslø</w:t>
      </w:r>
      <w:r>
        <w:rPr>
          <w:rFonts w:ascii="Calibri" w:eastAsia="Calibri" w:hAnsi="Calibri" w:cs="Calibri"/>
        </w:rPr>
        <w:t>sninger – også på rene markedsvilkår, hvis det ikke lykkes at opnå støtte. Det er der allerede flere eksempler på. Kommuner kan i forbindelse med bredbåndspuljen vælge at give støtte (kommunal medfinansiering) til de projekter, som måtte opnå støtte fra pu</w:t>
      </w:r>
      <w:r>
        <w:rPr>
          <w:rFonts w:ascii="Calibri" w:eastAsia="Calibri" w:hAnsi="Calibri" w:cs="Calibri"/>
        </w:rPr>
        <w:t>ljen. Kommunal medfinansiering er en relativ enkel måde for en kommune at støtte udrulningen uden selv at skulle foretage kortlægning og analyser i relation til statsstøttereglerne, da dette håndteres af statslige myndigheder.</w:t>
      </w:r>
    </w:p>
    <w:p w:rsidR="0024000E" w:rsidRDefault="00540AA6">
      <w:pPr>
        <w:numPr>
          <w:ilvl w:val="0"/>
          <w:numId w:val="5"/>
        </w:numPr>
        <w:ind w:left="1440" w:hanging="360"/>
        <w:rPr>
          <w:rFonts w:ascii="Calibri" w:eastAsia="Calibri" w:hAnsi="Calibri" w:cs="Calibri"/>
          <w:b/>
        </w:rPr>
      </w:pPr>
      <w:r>
        <w:rPr>
          <w:rFonts w:ascii="Calibri" w:eastAsia="Calibri" w:hAnsi="Calibri" w:cs="Calibri"/>
          <w:b/>
        </w:rPr>
        <w:t>Dækningskrav i forbindelse me</w:t>
      </w:r>
      <w:r>
        <w:rPr>
          <w:rFonts w:ascii="Calibri" w:eastAsia="Calibri" w:hAnsi="Calibri" w:cs="Calibri"/>
          <w:b/>
        </w:rPr>
        <w:t>d udbud</w:t>
      </w:r>
    </w:p>
    <w:p w:rsidR="0024000E" w:rsidRDefault="00540AA6">
      <w:pPr>
        <w:ind w:left="1440"/>
        <w:rPr>
          <w:rFonts w:ascii="Calibri" w:eastAsia="Calibri" w:hAnsi="Calibri" w:cs="Calibri"/>
          <w:b/>
        </w:rPr>
      </w:pPr>
      <w:r>
        <w:rPr>
          <w:rFonts w:ascii="Calibri" w:eastAsia="Calibri" w:hAnsi="Calibri" w:cs="Calibri"/>
        </w:rPr>
        <w:t xml:space="preserve">Når kommuner gennemfører udbud på teleydelser til eget brug, kan der stilles dækningskrav af hensyn til kommunens eget behov, hvilket kan være med til at forbedre </w:t>
      </w:r>
      <w:r>
        <w:rPr>
          <w:rFonts w:ascii="Calibri" w:eastAsia="Calibri" w:hAnsi="Calibri" w:cs="Calibri"/>
        </w:rPr>
        <w:lastRenderedPageBreak/>
        <w:t xml:space="preserve">dækningen for også borgere og virksomheder. Krav ved indkøb kan vedrøre både mobildækning og </w:t>
      </w:r>
      <w:r>
        <w:rPr>
          <w:rFonts w:ascii="Calibri" w:eastAsia="Calibri" w:hAnsi="Calibri" w:cs="Calibri"/>
        </w:rPr>
        <w:t xml:space="preserve">bredbånd. Denne type udbud kan gennemføres på tværs af flere kommuner. Det er vigtigt at hver enkelt udbud kun stiller krav </w:t>
      </w:r>
      <w:proofErr w:type="gramStart"/>
      <w:r>
        <w:rPr>
          <w:rFonts w:ascii="Calibri" w:eastAsia="Calibri" w:hAnsi="Calibri" w:cs="Calibri"/>
        </w:rPr>
        <w:t>indenfor</w:t>
      </w:r>
      <w:proofErr w:type="gramEnd"/>
      <w:r>
        <w:rPr>
          <w:rFonts w:ascii="Calibri" w:eastAsia="Calibri" w:hAnsi="Calibri" w:cs="Calibri"/>
        </w:rPr>
        <w:t xml:space="preserve"> den teknologi (mobil eller bredbånd), som ydelsen i udbuddet faktisk drejer sig om, og at dette ikke er bundlede ydelser, d</w:t>
      </w:r>
      <w:r>
        <w:rPr>
          <w:rFonts w:ascii="Calibri" w:eastAsia="Calibri" w:hAnsi="Calibri" w:cs="Calibri"/>
        </w:rPr>
        <w:t xml:space="preserve">a det vil udelukke potentielle </w:t>
      </w:r>
      <w:proofErr w:type="spellStart"/>
      <w:r>
        <w:rPr>
          <w:rFonts w:ascii="Calibri" w:eastAsia="Calibri" w:hAnsi="Calibri" w:cs="Calibri"/>
        </w:rPr>
        <w:t>bydere</w:t>
      </w:r>
      <w:proofErr w:type="spellEnd"/>
      <w:r>
        <w:rPr>
          <w:rFonts w:ascii="Calibri" w:eastAsia="Calibri" w:hAnsi="Calibri" w:cs="Calibri"/>
        </w:rPr>
        <w:t>.</w:t>
      </w:r>
    </w:p>
    <w:p w:rsidR="0024000E" w:rsidRDefault="00540AA6">
      <w:pPr>
        <w:numPr>
          <w:ilvl w:val="0"/>
          <w:numId w:val="6"/>
        </w:numPr>
        <w:ind w:left="1440" w:hanging="360"/>
        <w:rPr>
          <w:rFonts w:ascii="Calibri" w:eastAsia="Calibri" w:hAnsi="Calibri" w:cs="Calibri"/>
          <w:b/>
        </w:rPr>
      </w:pPr>
      <w:r>
        <w:rPr>
          <w:rFonts w:ascii="Calibri" w:eastAsia="Calibri" w:hAnsi="Calibri" w:cs="Calibri"/>
          <w:b/>
        </w:rPr>
        <w:t>Udbud med dækningskrav til erhvervsformål</w:t>
      </w:r>
    </w:p>
    <w:p w:rsidR="0024000E" w:rsidRDefault="00540AA6">
      <w:pPr>
        <w:ind w:left="1440"/>
        <w:rPr>
          <w:rFonts w:ascii="Calibri" w:eastAsia="Calibri" w:hAnsi="Calibri" w:cs="Calibri"/>
        </w:rPr>
      </w:pPr>
      <w:r>
        <w:rPr>
          <w:rFonts w:ascii="Calibri" w:eastAsia="Calibri" w:hAnsi="Calibri" w:cs="Calibri"/>
        </w:rPr>
        <w:t>Kommuner kan gennemføre udbud med krav om dækning i områder, hvor dækningen er mindre god for at fremme erhvervsudviklingen. Modellen kan anvendes for både mobildækning og bre</w:t>
      </w:r>
      <w:r>
        <w:rPr>
          <w:rFonts w:ascii="Calibri" w:eastAsia="Calibri" w:hAnsi="Calibri" w:cs="Calibri"/>
        </w:rPr>
        <w:t xml:space="preserve">dbånd. Anvendes denne model kræver det en nøje analyse af dækningen i et område og afdækning af markedsaktørernes planer. Det er vigtigt at hver enkelt udbud kun stiller krav </w:t>
      </w:r>
      <w:proofErr w:type="gramStart"/>
      <w:r>
        <w:rPr>
          <w:rFonts w:ascii="Calibri" w:eastAsia="Calibri" w:hAnsi="Calibri" w:cs="Calibri"/>
        </w:rPr>
        <w:t>indenfor</w:t>
      </w:r>
      <w:proofErr w:type="gramEnd"/>
      <w:r>
        <w:rPr>
          <w:rFonts w:ascii="Calibri" w:eastAsia="Calibri" w:hAnsi="Calibri" w:cs="Calibri"/>
        </w:rPr>
        <w:t xml:space="preserve"> den teknologi (mobil eller bredbånd), som ydelsen i udbuddet faktisk dre</w:t>
      </w:r>
      <w:r>
        <w:rPr>
          <w:rFonts w:ascii="Calibri" w:eastAsia="Calibri" w:hAnsi="Calibri" w:cs="Calibri"/>
        </w:rPr>
        <w:t xml:space="preserve">jer sig om, og at dette ikke er bundlede ydelser, da det vil udelukke potentielle </w:t>
      </w:r>
      <w:proofErr w:type="spellStart"/>
      <w:r>
        <w:rPr>
          <w:rFonts w:ascii="Calibri" w:eastAsia="Calibri" w:hAnsi="Calibri" w:cs="Calibri"/>
        </w:rPr>
        <w:t>bydere</w:t>
      </w:r>
      <w:proofErr w:type="spellEnd"/>
      <w:r>
        <w:rPr>
          <w:rFonts w:ascii="Calibri" w:eastAsia="Calibri" w:hAnsi="Calibri" w:cs="Calibri"/>
        </w:rPr>
        <w:t>.</w:t>
      </w:r>
    </w:p>
    <w:p w:rsidR="0024000E" w:rsidRDefault="00540AA6">
      <w:pPr>
        <w:numPr>
          <w:ilvl w:val="0"/>
          <w:numId w:val="7"/>
        </w:numPr>
        <w:ind w:left="1440" w:hanging="360"/>
        <w:rPr>
          <w:rFonts w:ascii="Calibri" w:eastAsia="Calibri" w:hAnsi="Calibri" w:cs="Calibri"/>
          <w:b/>
        </w:rPr>
      </w:pPr>
      <w:r>
        <w:rPr>
          <w:rFonts w:ascii="Calibri" w:eastAsia="Calibri" w:hAnsi="Calibri" w:cs="Calibri"/>
          <w:b/>
        </w:rPr>
        <w:t>Etablering af passiv infrastruktur</w:t>
      </w:r>
    </w:p>
    <w:p w:rsidR="0024000E" w:rsidRDefault="00540AA6">
      <w:pPr>
        <w:ind w:left="1440"/>
        <w:rPr>
          <w:rFonts w:ascii="Calibri" w:eastAsia="Calibri" w:hAnsi="Calibri" w:cs="Calibri"/>
        </w:rPr>
      </w:pPr>
      <w:r>
        <w:rPr>
          <w:rFonts w:ascii="Calibri" w:eastAsia="Calibri" w:hAnsi="Calibri" w:cs="Calibri"/>
        </w:rPr>
        <w:t xml:space="preserve">Kommuner kan udrulle kommunalt ejet passiv infrastruktur som en erhvervsudviklingsaktivitet. Det gælder både </w:t>
      </w:r>
      <w:proofErr w:type="spellStart"/>
      <w:r>
        <w:rPr>
          <w:rFonts w:ascii="Calibri" w:eastAsia="Calibri" w:hAnsi="Calibri" w:cs="Calibri"/>
        </w:rPr>
        <w:t>tomrør</w:t>
      </w:r>
      <w:proofErr w:type="spellEnd"/>
      <w:r>
        <w:rPr>
          <w:rFonts w:ascii="Calibri" w:eastAsia="Calibri" w:hAnsi="Calibri" w:cs="Calibri"/>
        </w:rPr>
        <w:t xml:space="preserve"> og master, der </w:t>
      </w:r>
      <w:r>
        <w:rPr>
          <w:rFonts w:ascii="Calibri" w:eastAsia="Calibri" w:hAnsi="Calibri" w:cs="Calibri"/>
        </w:rPr>
        <w:t xml:space="preserve">kan anvendes til trådløs bredbånd, </w:t>
      </w:r>
      <w:proofErr w:type="spellStart"/>
      <w:r>
        <w:rPr>
          <w:rFonts w:ascii="Calibri" w:eastAsia="Calibri" w:hAnsi="Calibri" w:cs="Calibri"/>
        </w:rPr>
        <w:t>wifi</w:t>
      </w:r>
      <w:proofErr w:type="spellEnd"/>
      <w:r>
        <w:rPr>
          <w:rFonts w:ascii="Calibri" w:eastAsia="Calibri" w:hAnsi="Calibri" w:cs="Calibri"/>
        </w:rPr>
        <w:t xml:space="preserve"> og mobiludstyr. Denne model kræver en nøje analyse af dækningen i et område og afdækning af markedsaktørernes planer, for ikke at fortrænge private investeringer eller skævvride markedet. </w:t>
      </w:r>
    </w:p>
    <w:p w:rsidR="004B034C" w:rsidRDefault="009E1511" w:rsidP="004B034C">
      <w:pPr>
        <w:ind w:left="1440"/>
        <w:rPr>
          <w:rFonts w:ascii="Calibri" w:eastAsia="Calibri" w:hAnsi="Calibri" w:cs="Calibri"/>
        </w:rPr>
      </w:pPr>
      <w:r>
        <w:rPr>
          <w:rFonts w:ascii="Calibri" w:eastAsia="Calibri" w:hAnsi="Calibri" w:cs="Calibri"/>
        </w:rPr>
        <w:t xml:space="preserve">Som generel hovedregel anbefaler TI </w:t>
      </w:r>
      <w:r w:rsidRPr="004B034C">
        <w:rPr>
          <w:rFonts w:ascii="Calibri" w:eastAsia="Calibri" w:hAnsi="Calibri" w:cs="Calibri"/>
          <w:u w:val="single"/>
        </w:rPr>
        <w:t>ikke</w:t>
      </w:r>
      <w:r>
        <w:rPr>
          <w:rFonts w:ascii="Calibri" w:eastAsia="Calibri" w:hAnsi="Calibri" w:cs="Calibri"/>
        </w:rPr>
        <w:t xml:space="preserve"> kommuner at nedlægge </w:t>
      </w:r>
      <w:proofErr w:type="spellStart"/>
      <w:r>
        <w:rPr>
          <w:rFonts w:ascii="Calibri" w:eastAsia="Calibri" w:hAnsi="Calibri" w:cs="Calibri"/>
        </w:rPr>
        <w:t>tomrør</w:t>
      </w:r>
      <w:proofErr w:type="spellEnd"/>
      <w:r>
        <w:rPr>
          <w:rFonts w:ascii="Calibri" w:eastAsia="Calibri" w:hAnsi="Calibri" w:cs="Calibri"/>
        </w:rPr>
        <w:t xml:space="preserve"> for at understøtte udbygningen af infrastrukturen.</w:t>
      </w:r>
      <w:r w:rsidR="004B034C">
        <w:rPr>
          <w:rFonts w:ascii="Calibri" w:eastAsia="Calibri" w:hAnsi="Calibri" w:cs="Calibri"/>
        </w:rPr>
        <w:t xml:space="preserve"> Det vil i de fleste tilfælde være mest hensigtsmæssigt at tilbyde </w:t>
      </w:r>
      <w:proofErr w:type="spellStart"/>
      <w:r w:rsidR="004B034C">
        <w:rPr>
          <w:rFonts w:ascii="Calibri" w:eastAsia="Calibri" w:hAnsi="Calibri" w:cs="Calibri"/>
        </w:rPr>
        <w:t>samgravning</w:t>
      </w:r>
      <w:proofErr w:type="spellEnd"/>
      <w:r w:rsidR="004B034C">
        <w:rPr>
          <w:rFonts w:ascii="Calibri" w:eastAsia="Calibri" w:hAnsi="Calibri" w:cs="Calibri"/>
        </w:rPr>
        <w:t xml:space="preserve">, såfremt der er en anden graveaktivitet. </w:t>
      </w:r>
    </w:p>
    <w:p w:rsidR="009E1511" w:rsidRDefault="004B034C" w:rsidP="004B034C">
      <w:pPr>
        <w:ind w:left="1440"/>
        <w:rPr>
          <w:rFonts w:ascii="Calibri" w:eastAsia="Calibri" w:hAnsi="Calibri" w:cs="Calibri"/>
        </w:rPr>
      </w:pPr>
      <w:r>
        <w:rPr>
          <w:rFonts w:ascii="Calibri" w:eastAsia="Calibri" w:hAnsi="Calibri" w:cs="Calibri"/>
        </w:rPr>
        <w:t xml:space="preserve">Såfremt der ikke er interesse for </w:t>
      </w:r>
      <w:proofErr w:type="spellStart"/>
      <w:r>
        <w:rPr>
          <w:rFonts w:ascii="Calibri" w:eastAsia="Calibri" w:hAnsi="Calibri" w:cs="Calibri"/>
        </w:rPr>
        <w:t>samgravning</w:t>
      </w:r>
      <w:proofErr w:type="spellEnd"/>
      <w:r>
        <w:rPr>
          <w:rFonts w:ascii="Calibri" w:eastAsia="Calibri" w:hAnsi="Calibri" w:cs="Calibri"/>
        </w:rPr>
        <w:t>, og kommunen alligevel ønsker at etablere passiv infrastruktur ved at nedlægge tomrør</w:t>
      </w:r>
      <w:bookmarkStart w:id="0" w:name="_GoBack"/>
      <w:bookmarkEnd w:id="0"/>
      <w:r>
        <w:rPr>
          <w:rFonts w:ascii="Calibri" w:eastAsia="Calibri" w:hAnsi="Calibri" w:cs="Calibri"/>
        </w:rPr>
        <w:t xml:space="preserve">, </w:t>
      </w:r>
      <w:r w:rsidRPr="004B034C">
        <w:rPr>
          <w:rFonts w:ascii="Calibri" w:eastAsia="Calibri" w:hAnsi="Calibri" w:cs="Calibri"/>
        </w:rPr>
        <w:t>anbefaler</w:t>
      </w:r>
      <w:r>
        <w:rPr>
          <w:rFonts w:ascii="Calibri" w:eastAsia="Calibri" w:hAnsi="Calibri" w:cs="Calibri"/>
        </w:rPr>
        <w:t xml:space="preserve"> TI, </w:t>
      </w:r>
      <w:r w:rsidRPr="004B034C">
        <w:rPr>
          <w:rFonts w:ascii="Calibri" w:eastAsia="Calibri" w:hAnsi="Calibri" w:cs="Calibri"/>
        </w:rPr>
        <w:t xml:space="preserve">at der i byområder </w:t>
      </w:r>
      <w:r>
        <w:rPr>
          <w:rFonts w:ascii="Calibri" w:eastAsia="Calibri" w:hAnsi="Calibri" w:cs="Calibri"/>
        </w:rPr>
        <w:t>anvend</w:t>
      </w:r>
      <w:r w:rsidRPr="004B034C">
        <w:rPr>
          <w:rFonts w:ascii="Calibri" w:eastAsia="Calibri" w:hAnsi="Calibri" w:cs="Calibri"/>
        </w:rPr>
        <w:t xml:space="preserve">es et 50mm PN 8 rør. Det vil efterfølgende kunne bruges til </w:t>
      </w:r>
      <w:r>
        <w:rPr>
          <w:rFonts w:ascii="Calibri" w:eastAsia="Calibri" w:hAnsi="Calibri" w:cs="Calibri"/>
        </w:rPr>
        <w:t>flere</w:t>
      </w:r>
      <w:r w:rsidRPr="004B034C">
        <w:rPr>
          <w:rFonts w:ascii="Calibri" w:eastAsia="Calibri" w:hAnsi="Calibri" w:cs="Calibri"/>
        </w:rPr>
        <w:t xml:space="preserve"> forskellige kabeltyper, </w:t>
      </w:r>
      <w:r>
        <w:rPr>
          <w:rFonts w:ascii="Calibri" w:eastAsia="Calibri" w:hAnsi="Calibri" w:cs="Calibri"/>
        </w:rPr>
        <w:t>og</w:t>
      </w:r>
      <w:r w:rsidRPr="004B034C">
        <w:rPr>
          <w:rFonts w:ascii="Calibri" w:eastAsia="Calibri" w:hAnsi="Calibri" w:cs="Calibri"/>
        </w:rPr>
        <w:t xml:space="preserve"> der er mulighed for at </w:t>
      </w:r>
      <w:proofErr w:type="spellStart"/>
      <w:r w:rsidRPr="004B034C">
        <w:rPr>
          <w:rFonts w:ascii="Calibri" w:eastAsia="Calibri" w:hAnsi="Calibri" w:cs="Calibri"/>
        </w:rPr>
        <w:t>reline</w:t>
      </w:r>
      <w:proofErr w:type="spellEnd"/>
      <w:r w:rsidRPr="004B034C">
        <w:rPr>
          <w:rFonts w:ascii="Calibri" w:eastAsia="Calibri" w:hAnsi="Calibri" w:cs="Calibri"/>
        </w:rPr>
        <w:t xml:space="preserve"> med mindre </w:t>
      </w:r>
      <w:proofErr w:type="spellStart"/>
      <w:r w:rsidRPr="004B034C">
        <w:rPr>
          <w:rFonts w:ascii="Calibri" w:eastAsia="Calibri" w:hAnsi="Calibri" w:cs="Calibri"/>
        </w:rPr>
        <w:t>subrør</w:t>
      </w:r>
      <w:proofErr w:type="spellEnd"/>
      <w:r>
        <w:rPr>
          <w:rFonts w:ascii="Calibri" w:eastAsia="Calibri" w:hAnsi="Calibri" w:cs="Calibri"/>
        </w:rPr>
        <w:t>,</w:t>
      </w:r>
      <w:r w:rsidRPr="004B034C">
        <w:rPr>
          <w:rFonts w:ascii="Calibri" w:eastAsia="Calibri" w:hAnsi="Calibri" w:cs="Calibri"/>
        </w:rPr>
        <w:t xml:space="preserve"> hvis teleselskabet bruger </w:t>
      </w:r>
      <w:proofErr w:type="spellStart"/>
      <w:r w:rsidRPr="004B034C">
        <w:rPr>
          <w:rFonts w:ascii="Calibri" w:eastAsia="Calibri" w:hAnsi="Calibri" w:cs="Calibri"/>
        </w:rPr>
        <w:t>microkabler</w:t>
      </w:r>
      <w:proofErr w:type="spellEnd"/>
      <w:r w:rsidRPr="004B034C">
        <w:rPr>
          <w:rFonts w:ascii="Calibri" w:eastAsia="Calibri" w:hAnsi="Calibri" w:cs="Calibri"/>
        </w:rPr>
        <w:t xml:space="preserve">. Det skal </w:t>
      </w:r>
      <w:r>
        <w:rPr>
          <w:rFonts w:ascii="Calibri" w:eastAsia="Calibri" w:hAnsi="Calibri" w:cs="Calibri"/>
        </w:rPr>
        <w:t xml:space="preserve">skulle </w:t>
      </w:r>
      <w:r w:rsidRPr="004B034C">
        <w:rPr>
          <w:rFonts w:ascii="Calibri" w:eastAsia="Calibri" w:hAnsi="Calibri" w:cs="Calibri"/>
        </w:rPr>
        <w:t>være</w:t>
      </w:r>
      <w:r>
        <w:rPr>
          <w:rFonts w:ascii="Calibri" w:eastAsia="Calibri" w:hAnsi="Calibri" w:cs="Calibri"/>
        </w:rPr>
        <w:t xml:space="preserve"> tale om</w:t>
      </w:r>
      <w:r w:rsidRPr="004B034C">
        <w:rPr>
          <w:rFonts w:ascii="Calibri" w:eastAsia="Calibri" w:hAnsi="Calibri" w:cs="Calibri"/>
        </w:rPr>
        <w:t xml:space="preserve"> længere gennemgående strækninger</w:t>
      </w:r>
      <w:r>
        <w:rPr>
          <w:rFonts w:ascii="Calibri" w:eastAsia="Calibri" w:hAnsi="Calibri" w:cs="Calibri"/>
        </w:rPr>
        <w:t>,</w:t>
      </w:r>
      <w:r w:rsidRPr="004B034C">
        <w:rPr>
          <w:rFonts w:ascii="Calibri" w:eastAsia="Calibri" w:hAnsi="Calibri" w:cs="Calibri"/>
        </w:rPr>
        <w:t xml:space="preserve"> før det er brugbart. I større byer vil det også være en fordel at lægge 110mm foringsrør på særlige vanskelige strækninger f.eks. over større vejkryds eller specielle dyre belægninger</w:t>
      </w:r>
      <w:r>
        <w:rPr>
          <w:rFonts w:ascii="Calibri" w:eastAsia="Calibri" w:hAnsi="Calibri" w:cs="Calibri"/>
        </w:rPr>
        <w:t>.</w:t>
      </w:r>
    </w:p>
    <w:p w:rsidR="004B034C" w:rsidRDefault="004B034C">
      <w:pPr>
        <w:ind w:left="1440"/>
        <w:rPr>
          <w:rFonts w:ascii="Calibri" w:eastAsia="Calibri" w:hAnsi="Calibri" w:cs="Calibri"/>
        </w:rPr>
      </w:pPr>
      <w:r>
        <w:rPr>
          <w:rFonts w:ascii="Calibri" w:eastAsia="Calibri" w:hAnsi="Calibri" w:cs="Calibri"/>
        </w:rPr>
        <w:t xml:space="preserve">Etablering af master som passiv infrastruktur og anlæggelse af </w:t>
      </w:r>
      <w:proofErr w:type="spellStart"/>
      <w:r>
        <w:rPr>
          <w:rFonts w:ascii="Calibri" w:eastAsia="Calibri" w:hAnsi="Calibri" w:cs="Calibri"/>
        </w:rPr>
        <w:t>tomrør</w:t>
      </w:r>
      <w:proofErr w:type="spellEnd"/>
      <w:r>
        <w:rPr>
          <w:rFonts w:ascii="Calibri" w:eastAsia="Calibri" w:hAnsi="Calibri" w:cs="Calibri"/>
        </w:rPr>
        <w:t xml:space="preserve"> bør alene ske efter en proces med inddragelse markedsaktørerne, hvor de identificerede problemområder analyseres nærmere.</w:t>
      </w:r>
      <w:r>
        <w:rPr>
          <w:rFonts w:ascii="Calibri" w:eastAsia="Calibri" w:hAnsi="Calibri" w:cs="Calibri"/>
        </w:rPr>
        <w:t xml:space="preserve"> </w:t>
      </w:r>
    </w:p>
    <w:p w:rsidR="0024000E" w:rsidRDefault="00540AA6">
      <w:pPr>
        <w:ind w:left="1440"/>
        <w:rPr>
          <w:rFonts w:ascii="Calibri" w:eastAsia="Calibri" w:hAnsi="Calibri" w:cs="Calibri"/>
        </w:rPr>
      </w:pPr>
      <w:r>
        <w:rPr>
          <w:rFonts w:ascii="Calibri" w:eastAsia="Calibri" w:hAnsi="Calibri" w:cs="Calibri"/>
        </w:rPr>
        <w:t xml:space="preserve">Når en kommune ønsker at </w:t>
      </w:r>
      <w:r w:rsidR="004B034C">
        <w:rPr>
          <w:rFonts w:ascii="Calibri" w:eastAsia="Calibri" w:hAnsi="Calibri" w:cs="Calibri"/>
        </w:rPr>
        <w:t xml:space="preserve">etablere </w:t>
      </w:r>
      <w:r>
        <w:rPr>
          <w:rFonts w:ascii="Calibri" w:eastAsia="Calibri" w:hAnsi="Calibri" w:cs="Calibri"/>
        </w:rPr>
        <w:t>tage initiativ til forbedring af mobildækningen kan der arrangeres</w:t>
      </w:r>
      <w:r>
        <w:rPr>
          <w:rFonts w:ascii="Calibri" w:eastAsia="Calibri" w:hAnsi="Calibri" w:cs="Calibri"/>
        </w:rPr>
        <w:t xml:space="preserve"> et møde med Teleindustriens Rejsehold. Møder med Rejseholdet kan aftales via Teleindustriens sekretariat. Se nærmere her </w:t>
      </w:r>
      <w:hyperlink r:id="rId9">
        <w:r>
          <w:rPr>
            <w:rFonts w:ascii="Calibri" w:eastAsia="Calibri" w:hAnsi="Calibri" w:cs="Calibri"/>
            <w:color w:val="0563C1"/>
            <w:u w:val="single"/>
          </w:rPr>
          <w:t>www.teleindu.dk</w:t>
        </w:r>
      </w:hyperlink>
      <w:r>
        <w:rPr>
          <w:rFonts w:ascii="Calibri" w:eastAsia="Calibri" w:hAnsi="Calibri" w:cs="Calibri"/>
        </w:rPr>
        <w:t xml:space="preserve"> </w:t>
      </w:r>
    </w:p>
    <w:p w:rsidR="0024000E" w:rsidRDefault="00540AA6">
      <w:pPr>
        <w:numPr>
          <w:ilvl w:val="0"/>
          <w:numId w:val="8"/>
        </w:numPr>
        <w:ind w:left="1440" w:hanging="360"/>
        <w:rPr>
          <w:rFonts w:ascii="Calibri" w:eastAsia="Calibri" w:hAnsi="Calibri" w:cs="Calibri"/>
          <w:b/>
        </w:rPr>
      </w:pPr>
      <w:r>
        <w:rPr>
          <w:rFonts w:ascii="Calibri" w:eastAsia="Calibri" w:hAnsi="Calibri" w:cs="Calibri"/>
          <w:b/>
        </w:rPr>
        <w:t xml:space="preserve">Fremme af </w:t>
      </w:r>
      <w:proofErr w:type="spellStart"/>
      <w:r>
        <w:rPr>
          <w:rFonts w:ascii="Calibri" w:eastAsia="Calibri" w:hAnsi="Calibri" w:cs="Calibri"/>
          <w:b/>
        </w:rPr>
        <w:t>samgravning</w:t>
      </w:r>
      <w:proofErr w:type="spellEnd"/>
    </w:p>
    <w:p w:rsidR="0024000E" w:rsidRDefault="00540AA6">
      <w:pPr>
        <w:ind w:left="1440"/>
        <w:rPr>
          <w:rFonts w:ascii="Calibri" w:eastAsia="Calibri" w:hAnsi="Calibri" w:cs="Calibri"/>
        </w:rPr>
      </w:pPr>
      <w:r>
        <w:rPr>
          <w:rFonts w:ascii="Calibri" w:eastAsia="Calibri" w:hAnsi="Calibri" w:cs="Calibri"/>
        </w:rPr>
        <w:t>Generelt er det positivt, hvis en kommune kan fremme</w:t>
      </w:r>
      <w:r>
        <w:rPr>
          <w:rFonts w:ascii="Calibri" w:eastAsia="Calibri" w:hAnsi="Calibri" w:cs="Calibri"/>
        </w:rPr>
        <w:t xml:space="preserve"> og koordinere </w:t>
      </w:r>
      <w:proofErr w:type="spellStart"/>
      <w:r>
        <w:rPr>
          <w:rFonts w:ascii="Calibri" w:eastAsia="Calibri" w:hAnsi="Calibri" w:cs="Calibri"/>
        </w:rPr>
        <w:t>samgravningsaktiviteter</w:t>
      </w:r>
      <w:proofErr w:type="spellEnd"/>
      <w:r>
        <w:rPr>
          <w:rFonts w:ascii="Calibri" w:eastAsia="Calibri" w:hAnsi="Calibri" w:cs="Calibri"/>
        </w:rPr>
        <w:t xml:space="preserve"> på tværs mellem aktører og sektorer. Ved at </w:t>
      </w:r>
      <w:proofErr w:type="spellStart"/>
      <w:r>
        <w:rPr>
          <w:rFonts w:ascii="Calibri" w:eastAsia="Calibri" w:hAnsi="Calibri" w:cs="Calibri"/>
        </w:rPr>
        <w:t>samgrave</w:t>
      </w:r>
      <w:proofErr w:type="spellEnd"/>
      <w:r>
        <w:rPr>
          <w:rFonts w:ascii="Calibri" w:eastAsia="Calibri" w:hAnsi="Calibri" w:cs="Calibri"/>
        </w:rPr>
        <w:t xml:space="preserve"> reduceres omkostninger betragteligt, og </w:t>
      </w:r>
      <w:proofErr w:type="spellStart"/>
      <w:r>
        <w:rPr>
          <w:rFonts w:ascii="Calibri" w:eastAsia="Calibri" w:hAnsi="Calibri" w:cs="Calibri"/>
        </w:rPr>
        <w:t>samgravning</w:t>
      </w:r>
      <w:proofErr w:type="spellEnd"/>
      <w:r>
        <w:rPr>
          <w:rFonts w:ascii="Calibri" w:eastAsia="Calibri" w:hAnsi="Calibri" w:cs="Calibri"/>
        </w:rPr>
        <w:t xml:space="preserve"> kan muliggøre, at der føres infrastruktur ud i et område, som ikke ellers ville blive forsynet. Dialog og koordi</w:t>
      </w:r>
      <w:r>
        <w:rPr>
          <w:rFonts w:ascii="Calibri" w:eastAsia="Calibri" w:hAnsi="Calibri" w:cs="Calibri"/>
        </w:rPr>
        <w:t xml:space="preserve">nation mellem alle </w:t>
      </w:r>
      <w:r>
        <w:rPr>
          <w:rFonts w:ascii="Calibri" w:eastAsia="Calibri" w:hAnsi="Calibri" w:cs="Calibri"/>
        </w:rPr>
        <w:lastRenderedPageBreak/>
        <w:t xml:space="preserve">forsyningsejere kan være ”nøglen” til at skabe størst mulig fælles interesse og nytteværdi af de fælles graveprojekter. </w:t>
      </w:r>
    </w:p>
    <w:p w:rsidR="0024000E" w:rsidRDefault="00540AA6">
      <w:pPr>
        <w:numPr>
          <w:ilvl w:val="0"/>
          <w:numId w:val="9"/>
        </w:numPr>
        <w:ind w:left="1440" w:hanging="360"/>
        <w:rPr>
          <w:rFonts w:ascii="Calibri" w:eastAsia="Calibri" w:hAnsi="Calibri" w:cs="Calibri"/>
          <w:b/>
        </w:rPr>
      </w:pPr>
      <w:r>
        <w:rPr>
          <w:rFonts w:ascii="Calibri" w:eastAsia="Calibri" w:hAnsi="Calibri" w:cs="Calibri"/>
          <w:b/>
        </w:rPr>
        <w:t xml:space="preserve">Kortlægning af infrastruktur </w:t>
      </w:r>
    </w:p>
    <w:p w:rsidR="0024000E" w:rsidRDefault="00540AA6">
      <w:pPr>
        <w:rPr>
          <w:rFonts w:ascii="Calibri" w:eastAsia="Calibri" w:hAnsi="Calibri" w:cs="Calibri"/>
        </w:rPr>
      </w:pPr>
      <w:r>
        <w:rPr>
          <w:rFonts w:ascii="Calibri" w:eastAsia="Calibri" w:hAnsi="Calibri" w:cs="Calibri"/>
          <w:b/>
        </w:rPr>
        <w:tab/>
      </w:r>
      <w:r>
        <w:rPr>
          <w:rFonts w:ascii="Calibri" w:eastAsia="Calibri" w:hAnsi="Calibri" w:cs="Calibri"/>
          <w:b/>
        </w:rPr>
        <w:tab/>
      </w:r>
      <w:r>
        <w:rPr>
          <w:rFonts w:ascii="Calibri" w:eastAsia="Calibri" w:hAnsi="Calibri" w:cs="Calibri"/>
        </w:rPr>
        <w:t xml:space="preserve">Det er en god idé for en kommune at kortlægge kommunens egen </w:t>
      </w:r>
      <w:r>
        <w:rPr>
          <w:rFonts w:ascii="Calibri" w:eastAsia="Calibri" w:hAnsi="Calibri" w:cs="Calibri"/>
        </w:rPr>
        <w:tab/>
      </w:r>
      <w:r>
        <w:rPr>
          <w:rFonts w:ascii="Calibri" w:eastAsia="Calibri" w:hAnsi="Calibri" w:cs="Calibri"/>
        </w:rPr>
        <w:tab/>
      </w:r>
      <w:r>
        <w:rPr>
          <w:rFonts w:ascii="Calibri" w:eastAsia="Calibri" w:hAnsi="Calibri" w:cs="Calibri"/>
        </w:rPr>
        <w:tab/>
        <w:t>infrastruktur og ska</w:t>
      </w:r>
      <w:r>
        <w:rPr>
          <w:rFonts w:ascii="Calibri" w:eastAsia="Calibri" w:hAnsi="Calibri" w:cs="Calibri"/>
        </w:rPr>
        <w:t xml:space="preserve">be størst mulig gennemsigtighed over for markedets </w:t>
      </w:r>
      <w:r>
        <w:rPr>
          <w:rFonts w:ascii="Calibri" w:eastAsia="Calibri" w:hAnsi="Calibri" w:cs="Calibri"/>
        </w:rPr>
        <w:tab/>
      </w:r>
      <w:r>
        <w:rPr>
          <w:rFonts w:ascii="Calibri" w:eastAsia="Calibri" w:hAnsi="Calibri" w:cs="Calibri"/>
        </w:rPr>
        <w:tab/>
        <w:t xml:space="preserve">aktører om mulighederne for at få adgang til denne. </w:t>
      </w:r>
    </w:p>
    <w:p w:rsidR="0024000E" w:rsidRDefault="00540AA6">
      <w:pPr>
        <w:ind w:left="1440"/>
        <w:rPr>
          <w:rFonts w:ascii="Calibri" w:eastAsia="Calibri" w:hAnsi="Calibri" w:cs="Calibri"/>
        </w:rPr>
      </w:pPr>
      <w:r>
        <w:rPr>
          <w:rFonts w:ascii="Calibri" w:eastAsia="Calibri" w:hAnsi="Calibri" w:cs="Calibri"/>
        </w:rPr>
        <w:t>Generelt fremmer det ikke markedets incitamenter til udbygning af den digitale infrastruktur, når en kommune selv anlægger infrastruktur. Kommuner bør</w:t>
      </w:r>
      <w:r>
        <w:rPr>
          <w:rFonts w:ascii="Calibri" w:eastAsia="Calibri" w:hAnsi="Calibri" w:cs="Calibri"/>
        </w:rPr>
        <w:t xml:space="preserve"> i videst muligt omfang understøtte private operatørers udbygning og udbredelse ved at fokusere på at outsource alle dele af det offentliges kommunikationsinfrastruktur. </w:t>
      </w:r>
      <w:r>
        <w:rPr>
          <w:rFonts w:ascii="Calibri" w:eastAsia="Calibri" w:hAnsi="Calibri" w:cs="Calibri"/>
        </w:rPr>
        <w:tab/>
      </w:r>
      <w:r>
        <w:rPr>
          <w:rFonts w:ascii="Calibri" w:eastAsia="Calibri" w:hAnsi="Calibri" w:cs="Calibri"/>
        </w:rPr>
        <w:tab/>
      </w:r>
    </w:p>
    <w:p w:rsidR="0024000E" w:rsidRDefault="0024000E">
      <w:pPr>
        <w:rPr>
          <w:rFonts w:ascii="Calibri" w:eastAsia="Calibri" w:hAnsi="Calibri" w:cs="Calibri"/>
        </w:rPr>
      </w:pPr>
    </w:p>
    <w:p w:rsidR="0024000E" w:rsidRDefault="00540AA6">
      <w:pPr>
        <w:numPr>
          <w:ilvl w:val="0"/>
          <w:numId w:val="10"/>
        </w:numPr>
        <w:ind w:left="720" w:hanging="360"/>
        <w:rPr>
          <w:rFonts w:ascii="Calibri" w:eastAsia="Calibri" w:hAnsi="Calibri" w:cs="Calibri"/>
          <w:b/>
        </w:rPr>
      </w:pPr>
      <w:r>
        <w:rPr>
          <w:rFonts w:ascii="Calibri" w:eastAsia="Calibri" w:hAnsi="Calibri" w:cs="Calibri"/>
          <w:b/>
        </w:rPr>
        <w:t>Principper for kommunale aktiviteter</w:t>
      </w:r>
    </w:p>
    <w:p w:rsidR="0024000E" w:rsidRDefault="00540AA6">
      <w:pPr>
        <w:ind w:left="720"/>
        <w:rPr>
          <w:rFonts w:ascii="Calibri" w:eastAsia="Calibri" w:hAnsi="Calibri" w:cs="Calibri"/>
        </w:rPr>
      </w:pPr>
      <w:r>
        <w:rPr>
          <w:rFonts w:ascii="Calibri" w:eastAsia="Calibri" w:hAnsi="Calibri" w:cs="Calibri"/>
        </w:rPr>
        <w:t>Det er særdeles positivt, når kommuner er dig</w:t>
      </w:r>
      <w:r>
        <w:rPr>
          <w:rFonts w:ascii="Calibri" w:eastAsia="Calibri" w:hAnsi="Calibri" w:cs="Calibri"/>
        </w:rPr>
        <w:t>ital ambitiøse og ønsker at fremme udbygningen og brugen af den digitale infrastruktur. Samtidig er det vigtigt, at kommunale aktiviteter på området er neutrale i forhold til forskellige aktører og teknologier, og at man fra kommunal side er meget opmærkso</w:t>
      </w:r>
      <w:r>
        <w:rPr>
          <w:rFonts w:ascii="Calibri" w:eastAsia="Calibri" w:hAnsi="Calibri" w:cs="Calibri"/>
        </w:rPr>
        <w:t>m på at overholde gældende regler. Generelt opfordres kommunerne i deres aktiviteter til at følge principperne om at:</w:t>
      </w:r>
    </w:p>
    <w:p w:rsidR="0024000E" w:rsidRDefault="00540AA6">
      <w:pPr>
        <w:numPr>
          <w:ilvl w:val="0"/>
          <w:numId w:val="11"/>
        </w:numPr>
        <w:ind w:left="1080" w:hanging="360"/>
        <w:rPr>
          <w:rFonts w:ascii="Calibri" w:eastAsia="Calibri" w:hAnsi="Calibri" w:cs="Calibri"/>
        </w:rPr>
      </w:pPr>
      <w:r>
        <w:rPr>
          <w:rFonts w:ascii="Calibri" w:eastAsia="Calibri" w:hAnsi="Calibri" w:cs="Calibri"/>
        </w:rPr>
        <w:t>understøtte markedet</w:t>
      </w:r>
    </w:p>
    <w:p w:rsidR="0024000E" w:rsidRDefault="00540AA6">
      <w:pPr>
        <w:numPr>
          <w:ilvl w:val="0"/>
          <w:numId w:val="11"/>
        </w:numPr>
        <w:ind w:left="1080" w:hanging="360"/>
        <w:rPr>
          <w:rFonts w:ascii="Calibri" w:eastAsia="Calibri" w:hAnsi="Calibri" w:cs="Calibri"/>
        </w:rPr>
      </w:pPr>
      <w:r>
        <w:rPr>
          <w:rFonts w:ascii="Calibri" w:eastAsia="Calibri" w:hAnsi="Calibri" w:cs="Calibri"/>
        </w:rPr>
        <w:t>være teknologineutrale</w:t>
      </w:r>
    </w:p>
    <w:p w:rsidR="0024000E" w:rsidRDefault="00540AA6">
      <w:pPr>
        <w:numPr>
          <w:ilvl w:val="0"/>
          <w:numId w:val="11"/>
        </w:numPr>
        <w:ind w:left="1080" w:hanging="360"/>
        <w:rPr>
          <w:rFonts w:ascii="Calibri" w:eastAsia="Calibri" w:hAnsi="Calibri" w:cs="Calibri"/>
        </w:rPr>
      </w:pPr>
      <w:r>
        <w:rPr>
          <w:rFonts w:ascii="Calibri" w:eastAsia="Calibri" w:hAnsi="Calibri" w:cs="Calibri"/>
        </w:rPr>
        <w:t xml:space="preserve">sikre, at aktiviteter ikke er konkurrenceforvridende </w:t>
      </w:r>
    </w:p>
    <w:p w:rsidR="0024000E" w:rsidRDefault="00540AA6">
      <w:pPr>
        <w:numPr>
          <w:ilvl w:val="0"/>
          <w:numId w:val="11"/>
        </w:numPr>
        <w:ind w:left="1080" w:hanging="360"/>
        <w:rPr>
          <w:rFonts w:ascii="Calibri" w:eastAsia="Calibri" w:hAnsi="Calibri" w:cs="Calibri"/>
        </w:rPr>
      </w:pPr>
      <w:r>
        <w:rPr>
          <w:rFonts w:ascii="Calibri" w:eastAsia="Calibri" w:hAnsi="Calibri" w:cs="Calibri"/>
        </w:rPr>
        <w:t xml:space="preserve">sikre at kommunale aktiviteter ikke fortrænger private investeringer  </w:t>
      </w:r>
    </w:p>
    <w:p w:rsidR="0024000E" w:rsidRDefault="00540AA6">
      <w:pPr>
        <w:numPr>
          <w:ilvl w:val="0"/>
          <w:numId w:val="11"/>
        </w:numPr>
        <w:ind w:left="1080" w:hanging="360"/>
        <w:rPr>
          <w:rFonts w:ascii="Calibri" w:eastAsia="Calibri" w:hAnsi="Calibri" w:cs="Calibri"/>
        </w:rPr>
      </w:pPr>
      <w:r>
        <w:rPr>
          <w:rFonts w:ascii="Calibri" w:eastAsia="Calibri" w:hAnsi="Calibri" w:cs="Calibri"/>
        </w:rPr>
        <w:t xml:space="preserve">aktiviteter skal overholde eksisterende lovgivning (fx EU- statsstøtteregler, erhvervsfremmeregler, udbudsregler - og anden national lovgivning). </w:t>
      </w:r>
    </w:p>
    <w:p w:rsidR="0024000E" w:rsidRDefault="00540AA6">
      <w:pPr>
        <w:numPr>
          <w:ilvl w:val="0"/>
          <w:numId w:val="11"/>
        </w:numPr>
        <w:ind w:left="1080" w:hanging="360"/>
        <w:rPr>
          <w:rFonts w:ascii="Calibri" w:eastAsia="Calibri" w:hAnsi="Calibri" w:cs="Calibri"/>
        </w:rPr>
      </w:pPr>
      <w:r>
        <w:rPr>
          <w:rFonts w:ascii="Calibri" w:eastAsia="Calibri" w:hAnsi="Calibri" w:cs="Calibri"/>
        </w:rPr>
        <w:t>sikre fuld gennemsigtighed og åbenhed i aktiviteter</w:t>
      </w:r>
    </w:p>
    <w:p w:rsidR="0024000E" w:rsidRDefault="00540AA6">
      <w:pPr>
        <w:numPr>
          <w:ilvl w:val="0"/>
          <w:numId w:val="11"/>
        </w:numPr>
        <w:ind w:left="1080" w:hanging="360"/>
        <w:rPr>
          <w:rFonts w:ascii="Calibri" w:eastAsia="Calibri" w:hAnsi="Calibri" w:cs="Calibri"/>
        </w:rPr>
      </w:pPr>
      <w:r>
        <w:rPr>
          <w:rFonts w:ascii="Calibri" w:eastAsia="Calibri" w:hAnsi="Calibri" w:cs="Calibri"/>
        </w:rPr>
        <w:t xml:space="preserve">fremme dialog og konstruktivt samarbejde med markedets aktører </w:t>
      </w:r>
    </w:p>
    <w:p w:rsidR="0024000E" w:rsidRDefault="00540AA6">
      <w:pPr>
        <w:numPr>
          <w:ilvl w:val="0"/>
          <w:numId w:val="11"/>
        </w:numPr>
        <w:ind w:left="1080" w:hanging="360"/>
        <w:rPr>
          <w:rFonts w:ascii="Calibri" w:eastAsia="Calibri" w:hAnsi="Calibri" w:cs="Calibri"/>
        </w:rPr>
      </w:pPr>
      <w:r>
        <w:rPr>
          <w:rFonts w:ascii="Calibri" w:eastAsia="Calibri" w:hAnsi="Calibri" w:cs="Calibri"/>
        </w:rPr>
        <w:t xml:space="preserve">sikre at udbud er åbne og konkurrencebetonede, således at flere private aktører reelt kan byde </w:t>
      </w:r>
    </w:p>
    <w:p w:rsidR="0024000E" w:rsidRDefault="0024000E">
      <w:pPr>
        <w:rPr>
          <w:rFonts w:ascii="Calibri" w:eastAsia="Calibri" w:hAnsi="Calibri" w:cs="Calibri"/>
        </w:rPr>
      </w:pPr>
    </w:p>
    <w:p w:rsidR="0024000E" w:rsidRDefault="00540AA6">
      <w:pPr>
        <w:rPr>
          <w:rFonts w:ascii="Calibri" w:eastAsia="Calibri" w:hAnsi="Calibri" w:cs="Calibri"/>
        </w:rPr>
      </w:pPr>
      <w:r>
        <w:rPr>
          <w:rFonts w:ascii="Calibri" w:eastAsia="Calibri" w:hAnsi="Calibri" w:cs="Calibri"/>
        </w:rPr>
        <w:t xml:space="preserve"> </w:t>
      </w:r>
    </w:p>
    <w:p w:rsidR="0024000E" w:rsidRDefault="0024000E">
      <w:pPr>
        <w:rPr>
          <w:rFonts w:ascii="Calibri" w:eastAsia="Calibri" w:hAnsi="Calibri" w:cs="Calibri"/>
        </w:rPr>
      </w:pPr>
    </w:p>
    <w:sectPr w:rsidR="0024000E">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E5830"/>
    <w:multiLevelType w:val="multilevel"/>
    <w:tmpl w:val="E2B6DF6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D1B55A7"/>
    <w:multiLevelType w:val="multilevel"/>
    <w:tmpl w:val="7DEC2BD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B91041F"/>
    <w:multiLevelType w:val="multilevel"/>
    <w:tmpl w:val="AD4260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2D3100F"/>
    <w:multiLevelType w:val="multilevel"/>
    <w:tmpl w:val="60B68F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9686F0C"/>
    <w:multiLevelType w:val="multilevel"/>
    <w:tmpl w:val="CACEEBE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A750C57"/>
    <w:multiLevelType w:val="multilevel"/>
    <w:tmpl w:val="1ACA36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CC82E1C"/>
    <w:multiLevelType w:val="multilevel"/>
    <w:tmpl w:val="47D07C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22E572F"/>
    <w:multiLevelType w:val="multilevel"/>
    <w:tmpl w:val="DA569E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4E74F10"/>
    <w:multiLevelType w:val="multilevel"/>
    <w:tmpl w:val="A36264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5513377"/>
    <w:multiLevelType w:val="multilevel"/>
    <w:tmpl w:val="3782046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AEA4F74"/>
    <w:multiLevelType w:val="multilevel"/>
    <w:tmpl w:val="DB7CE4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8"/>
  </w:num>
  <w:num w:numId="3">
    <w:abstractNumId w:val="4"/>
  </w:num>
  <w:num w:numId="4">
    <w:abstractNumId w:val="3"/>
  </w:num>
  <w:num w:numId="5">
    <w:abstractNumId w:val="10"/>
  </w:num>
  <w:num w:numId="6">
    <w:abstractNumId w:val="5"/>
  </w:num>
  <w:num w:numId="7">
    <w:abstractNumId w:val="2"/>
  </w:num>
  <w:num w:numId="8">
    <w:abstractNumId w:val="6"/>
  </w:num>
  <w:num w:numId="9">
    <w:abstractNumId w:val="0"/>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00E"/>
    <w:rsid w:val="001118F1"/>
    <w:rsid w:val="0024000E"/>
    <w:rsid w:val="004B034C"/>
    <w:rsid w:val="00540AA6"/>
    <w:rsid w:val="008F0134"/>
    <w:rsid w:val="009E151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14F37"/>
  <w15:docId w15:val="{055D4AEF-9D51-4842-BD2B-3F6976562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guldborgsund.dk/da/Borger/UDVIKLING_I_KOMMUNEN/Projekter/Bedre_bredbaand.aspx" TargetMode="External"/><Relationship Id="rId3" Type="http://schemas.openxmlformats.org/officeDocument/2006/relationships/settings" Target="settings.xml"/><Relationship Id="rId7" Type="http://schemas.openxmlformats.org/officeDocument/2006/relationships/hyperlink" Target="https://ens.dk/sites/ens.dk/files/Tele/vejledning_om_markedsleje_version_2015.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s.dk/ansvarsomraader/bredbaand/guide-til-bedre-mobil-og-bredbaandsdaekning" TargetMode="External"/><Relationship Id="rId11" Type="http://schemas.openxmlformats.org/officeDocument/2006/relationships/theme" Target="theme/theme1.xml"/><Relationship Id="rId5" Type="http://schemas.openxmlformats.org/officeDocument/2006/relationships/image" Target="media/image1.w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eleindu.dk/"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1517</Words>
  <Characters>9256</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Jakob</dc:creator>
  <cp:lastModifiedBy>Jakob</cp:lastModifiedBy>
  <cp:revision>2</cp:revision>
  <dcterms:created xsi:type="dcterms:W3CDTF">2018-02-26T09:54:00Z</dcterms:created>
  <dcterms:modified xsi:type="dcterms:W3CDTF">2018-02-26T09:54:00Z</dcterms:modified>
</cp:coreProperties>
</file>