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12C" w:rsidRPr="009461FC" w:rsidRDefault="00BA7351" w:rsidP="00A019CC">
      <w:pPr>
        <w:rPr>
          <w:rFonts w:ascii="Verdana" w:hAnsi="Verdana"/>
          <w:sz w:val="16"/>
          <w:szCs w:val="16"/>
          <w:lang w:val="da-DK"/>
        </w:rPr>
      </w:pPr>
      <w:r>
        <w:rPr>
          <w:rFonts w:ascii="Verdana" w:hAnsi="Verdana"/>
          <w:sz w:val="16"/>
          <w:szCs w:val="16"/>
          <w:lang w:val="da-DK"/>
        </w:rPr>
        <w:t>31</w:t>
      </w:r>
      <w:r w:rsidR="00010B25">
        <w:rPr>
          <w:rFonts w:ascii="Verdana" w:hAnsi="Verdana"/>
          <w:sz w:val="16"/>
          <w:szCs w:val="16"/>
          <w:lang w:val="da-DK"/>
        </w:rPr>
        <w:t>.</w:t>
      </w:r>
      <w:r>
        <w:rPr>
          <w:rFonts w:ascii="Verdana" w:hAnsi="Verdana"/>
          <w:sz w:val="16"/>
          <w:szCs w:val="16"/>
          <w:lang w:val="da-DK"/>
        </w:rPr>
        <w:t>01</w:t>
      </w:r>
      <w:r w:rsidR="002B412C">
        <w:rPr>
          <w:rFonts w:ascii="Verdana" w:hAnsi="Verdana"/>
          <w:sz w:val="16"/>
          <w:szCs w:val="16"/>
          <w:lang w:val="da-DK"/>
        </w:rPr>
        <w:t>.</w:t>
      </w:r>
      <w:r w:rsidR="00AD6CDC">
        <w:rPr>
          <w:rFonts w:ascii="Verdana" w:hAnsi="Verdana"/>
          <w:sz w:val="16"/>
          <w:szCs w:val="16"/>
          <w:lang w:val="da-DK"/>
        </w:rPr>
        <w:t>20</w:t>
      </w:r>
      <w:r w:rsidR="002B412C">
        <w:rPr>
          <w:rFonts w:ascii="Verdana" w:hAnsi="Verdana"/>
          <w:sz w:val="16"/>
          <w:szCs w:val="16"/>
          <w:lang w:val="da-DK"/>
        </w:rPr>
        <w:t>1</w:t>
      </w:r>
      <w:r w:rsidR="00444816">
        <w:rPr>
          <w:rFonts w:ascii="Verdana" w:hAnsi="Verdana"/>
          <w:sz w:val="16"/>
          <w:szCs w:val="16"/>
          <w:lang w:val="da-DK"/>
        </w:rPr>
        <w:t>4</w:t>
      </w:r>
      <w:bookmarkStart w:id="0" w:name="_GoBack"/>
      <w:bookmarkEnd w:id="0"/>
    </w:p>
    <w:p w:rsidR="002B412C" w:rsidRDefault="002B412C" w:rsidP="00A019CC">
      <w:pPr>
        <w:rPr>
          <w:rFonts w:ascii="Verdana" w:hAnsi="Verdana"/>
          <w:b/>
          <w:sz w:val="24"/>
          <w:szCs w:val="24"/>
          <w:lang w:val="da-DK"/>
        </w:rPr>
      </w:pPr>
      <w:r>
        <w:rPr>
          <w:rFonts w:ascii="Verdana" w:hAnsi="Verdana"/>
          <w:b/>
          <w:sz w:val="24"/>
          <w:szCs w:val="24"/>
          <w:lang w:val="da-DK"/>
        </w:rPr>
        <w:t>TI Netneutralitets Forum:</w:t>
      </w:r>
    </w:p>
    <w:p w:rsidR="002B412C" w:rsidRDefault="002B412C" w:rsidP="00A019CC">
      <w:pPr>
        <w:rPr>
          <w:rFonts w:ascii="Verdana" w:hAnsi="Verdana"/>
          <w:b/>
          <w:sz w:val="24"/>
          <w:szCs w:val="24"/>
          <w:lang w:val="da-DK"/>
        </w:rPr>
      </w:pPr>
      <w:r>
        <w:rPr>
          <w:rFonts w:ascii="Verdana" w:hAnsi="Verdana"/>
          <w:b/>
          <w:sz w:val="24"/>
          <w:szCs w:val="24"/>
          <w:lang w:val="da-DK"/>
        </w:rPr>
        <w:t>Statusrapport 201</w:t>
      </w:r>
      <w:r w:rsidR="00F8317F">
        <w:rPr>
          <w:rFonts w:ascii="Verdana" w:hAnsi="Verdana"/>
          <w:b/>
          <w:sz w:val="24"/>
          <w:szCs w:val="24"/>
          <w:lang w:val="da-DK"/>
        </w:rPr>
        <w:t>3</w:t>
      </w:r>
    </w:p>
    <w:p w:rsidR="002B412C" w:rsidRDefault="002B412C" w:rsidP="00A019CC">
      <w:pPr>
        <w:rPr>
          <w:rFonts w:ascii="Verdana" w:hAnsi="Verdana"/>
          <w:b/>
          <w:sz w:val="24"/>
          <w:szCs w:val="24"/>
          <w:lang w:val="da-DK"/>
        </w:rPr>
      </w:pPr>
    </w:p>
    <w:p w:rsidR="002B412C" w:rsidRDefault="002B412C" w:rsidP="00A019CC">
      <w:pPr>
        <w:rPr>
          <w:rFonts w:ascii="Verdana" w:hAnsi="Verdana"/>
          <w:b/>
          <w:sz w:val="24"/>
          <w:szCs w:val="24"/>
          <w:lang w:val="da-DK"/>
        </w:rPr>
      </w:pPr>
    </w:p>
    <w:p w:rsidR="002B412C" w:rsidRDefault="002B412C" w:rsidP="00AF654A">
      <w:pPr>
        <w:rPr>
          <w:rFonts w:ascii="Verdana" w:hAnsi="Verdana"/>
          <w:sz w:val="20"/>
          <w:lang w:val="da-DK"/>
        </w:rPr>
      </w:pPr>
      <w:r w:rsidRPr="00AF654A">
        <w:rPr>
          <w:rFonts w:ascii="Verdana" w:hAnsi="Verdana"/>
          <w:sz w:val="20"/>
          <w:lang w:val="da-DK"/>
        </w:rPr>
        <w:t xml:space="preserve">TI Netneutralitets Forum </w:t>
      </w:r>
      <w:r>
        <w:rPr>
          <w:rFonts w:ascii="Verdana" w:hAnsi="Verdana"/>
          <w:sz w:val="20"/>
          <w:lang w:val="da-DK"/>
        </w:rPr>
        <w:t>(</w:t>
      </w:r>
      <w:r w:rsidRPr="00AF654A">
        <w:rPr>
          <w:rFonts w:ascii="Verdana" w:hAnsi="Verdana"/>
          <w:sz w:val="20"/>
          <w:lang w:val="da-DK"/>
        </w:rPr>
        <w:t>NEF</w:t>
      </w:r>
      <w:r>
        <w:rPr>
          <w:rFonts w:ascii="Verdana" w:hAnsi="Verdana"/>
          <w:sz w:val="20"/>
          <w:lang w:val="da-DK"/>
        </w:rPr>
        <w:t>)</w:t>
      </w:r>
      <w:r w:rsidRPr="00AF654A">
        <w:rPr>
          <w:rFonts w:ascii="Verdana" w:hAnsi="Verdana"/>
          <w:sz w:val="20"/>
          <w:lang w:val="da-DK"/>
        </w:rPr>
        <w:t xml:space="preserve"> skal </w:t>
      </w:r>
      <w:r>
        <w:rPr>
          <w:rFonts w:ascii="Verdana" w:hAnsi="Verdana"/>
          <w:sz w:val="20"/>
          <w:lang w:val="da-DK"/>
        </w:rPr>
        <w:t xml:space="preserve">i henhold til Kommissorium </w:t>
      </w:r>
      <w:r w:rsidRPr="00AF654A">
        <w:rPr>
          <w:rFonts w:ascii="Verdana" w:hAnsi="Verdana"/>
          <w:sz w:val="20"/>
          <w:lang w:val="da-DK"/>
        </w:rPr>
        <w:t>en gang årligt rapportere til Teleforum i form af en kort sammenfatning af fremlagte emner og eksempler, og af hvorledes disse er behandlet.</w:t>
      </w:r>
    </w:p>
    <w:p w:rsidR="002B412C" w:rsidRDefault="002B412C" w:rsidP="00AF654A">
      <w:pPr>
        <w:rPr>
          <w:rFonts w:ascii="Verdana" w:hAnsi="Verdana"/>
          <w:sz w:val="20"/>
          <w:lang w:val="da-DK"/>
        </w:rPr>
      </w:pPr>
    </w:p>
    <w:p w:rsidR="00CA4B41" w:rsidRDefault="00AD6CDC" w:rsidP="00AF654A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N</w:t>
      </w:r>
      <w:r w:rsidR="002B412C">
        <w:rPr>
          <w:rFonts w:ascii="Verdana" w:hAnsi="Verdana"/>
          <w:sz w:val="20"/>
          <w:lang w:val="da-DK"/>
        </w:rPr>
        <w:t xml:space="preserve">EF </w:t>
      </w:r>
      <w:r w:rsidR="00010B25">
        <w:rPr>
          <w:rFonts w:ascii="Verdana" w:hAnsi="Verdana"/>
          <w:sz w:val="20"/>
          <w:lang w:val="da-DK"/>
        </w:rPr>
        <w:t xml:space="preserve">skal hermed </w:t>
      </w:r>
      <w:r w:rsidR="002B412C">
        <w:rPr>
          <w:rFonts w:ascii="Verdana" w:hAnsi="Verdana"/>
          <w:sz w:val="20"/>
          <w:lang w:val="da-DK"/>
        </w:rPr>
        <w:t xml:space="preserve">give Teleforum en kort </w:t>
      </w:r>
      <w:r w:rsidR="00CA4B41">
        <w:rPr>
          <w:rFonts w:ascii="Verdana" w:hAnsi="Verdana"/>
          <w:sz w:val="20"/>
          <w:lang w:val="da-DK"/>
        </w:rPr>
        <w:t>status for aktiviteter og emner siden for</w:t>
      </w:r>
      <w:r w:rsidR="00847985">
        <w:rPr>
          <w:rFonts w:ascii="Verdana" w:hAnsi="Verdana"/>
          <w:sz w:val="20"/>
          <w:lang w:val="da-DK"/>
        </w:rPr>
        <w:t>rige statusrapport februar 2012</w:t>
      </w:r>
      <w:r w:rsidR="00CA4B41">
        <w:rPr>
          <w:rFonts w:ascii="Verdana" w:hAnsi="Verdana"/>
          <w:sz w:val="20"/>
          <w:lang w:val="da-DK"/>
        </w:rPr>
        <w:t>.</w:t>
      </w:r>
    </w:p>
    <w:p w:rsidR="002B412C" w:rsidRDefault="002B412C" w:rsidP="00AF654A">
      <w:pPr>
        <w:rPr>
          <w:rFonts w:ascii="Verdana" w:hAnsi="Verdana"/>
          <w:sz w:val="20"/>
          <w:lang w:val="da-DK"/>
        </w:rPr>
      </w:pPr>
    </w:p>
    <w:p w:rsidR="00AD6CDC" w:rsidRDefault="00AD6CDC" w:rsidP="00AF654A">
      <w:pPr>
        <w:rPr>
          <w:rFonts w:ascii="Verdana" w:hAnsi="Verdana"/>
          <w:sz w:val="20"/>
          <w:lang w:val="da-DK"/>
        </w:rPr>
      </w:pPr>
    </w:p>
    <w:p w:rsidR="002B412C" w:rsidRPr="00AF654A" w:rsidRDefault="002B412C" w:rsidP="00AF654A">
      <w:pPr>
        <w:rPr>
          <w:rFonts w:ascii="Verdana" w:hAnsi="Verdana"/>
          <w:b/>
          <w:sz w:val="24"/>
          <w:szCs w:val="24"/>
          <w:lang w:val="da-DK"/>
        </w:rPr>
      </w:pPr>
      <w:r>
        <w:rPr>
          <w:rFonts w:ascii="Verdana" w:hAnsi="Verdana"/>
          <w:b/>
          <w:sz w:val="24"/>
          <w:szCs w:val="24"/>
          <w:lang w:val="da-DK"/>
        </w:rPr>
        <w:t xml:space="preserve">I </w:t>
      </w:r>
      <w:r w:rsidRPr="00AF654A">
        <w:rPr>
          <w:rFonts w:ascii="Verdana" w:hAnsi="Verdana"/>
          <w:b/>
          <w:sz w:val="24"/>
          <w:szCs w:val="24"/>
          <w:lang w:val="da-DK"/>
        </w:rPr>
        <w:t>Aktiviteter</w:t>
      </w:r>
    </w:p>
    <w:p w:rsidR="002B412C" w:rsidRDefault="002B412C" w:rsidP="00AF654A">
      <w:pPr>
        <w:rPr>
          <w:rFonts w:ascii="Verdana" w:hAnsi="Verdana"/>
          <w:sz w:val="20"/>
          <w:lang w:val="da-DK"/>
        </w:rPr>
      </w:pPr>
    </w:p>
    <w:p w:rsidR="002B412C" w:rsidRDefault="002B412C" w:rsidP="00AF654A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NEF har afholdt t</w:t>
      </w:r>
      <w:r w:rsidR="00D329F8">
        <w:rPr>
          <w:rFonts w:ascii="Verdana" w:hAnsi="Verdana"/>
          <w:sz w:val="20"/>
          <w:lang w:val="da-DK"/>
        </w:rPr>
        <w:t>re</w:t>
      </w:r>
      <w:r w:rsidR="00CA4B41">
        <w:rPr>
          <w:rFonts w:ascii="Verdana" w:hAnsi="Verdana"/>
          <w:sz w:val="20"/>
          <w:lang w:val="da-DK"/>
        </w:rPr>
        <w:t xml:space="preserve"> møder</w:t>
      </w:r>
      <w:r w:rsidR="00847985">
        <w:rPr>
          <w:rFonts w:ascii="Verdana" w:hAnsi="Verdana"/>
          <w:sz w:val="20"/>
          <w:lang w:val="da-DK"/>
        </w:rPr>
        <w:t xml:space="preserve"> i 2013: 15.</w:t>
      </w:r>
      <w:r>
        <w:rPr>
          <w:rFonts w:ascii="Verdana" w:hAnsi="Verdana"/>
          <w:sz w:val="20"/>
          <w:lang w:val="da-DK"/>
        </w:rPr>
        <w:t xml:space="preserve"> j</w:t>
      </w:r>
      <w:r w:rsidR="00CA4B41">
        <w:rPr>
          <w:rFonts w:ascii="Verdana" w:hAnsi="Verdana"/>
          <w:sz w:val="20"/>
          <w:lang w:val="da-DK"/>
        </w:rPr>
        <w:t xml:space="preserve">anuar </w:t>
      </w:r>
      <w:r>
        <w:rPr>
          <w:rFonts w:ascii="Verdana" w:hAnsi="Verdana"/>
          <w:sz w:val="20"/>
          <w:lang w:val="da-DK"/>
        </w:rPr>
        <w:t>201</w:t>
      </w:r>
      <w:r w:rsidR="00847985">
        <w:rPr>
          <w:rFonts w:ascii="Verdana" w:hAnsi="Verdana"/>
          <w:sz w:val="20"/>
          <w:lang w:val="da-DK"/>
        </w:rPr>
        <w:t>3</w:t>
      </w:r>
      <w:r w:rsidR="00D329F8">
        <w:rPr>
          <w:rFonts w:ascii="Verdana" w:hAnsi="Verdana"/>
          <w:sz w:val="20"/>
          <w:lang w:val="da-DK"/>
        </w:rPr>
        <w:t>,</w:t>
      </w:r>
      <w:r>
        <w:rPr>
          <w:rFonts w:ascii="Verdana" w:hAnsi="Verdana"/>
          <w:sz w:val="20"/>
          <w:lang w:val="da-DK"/>
        </w:rPr>
        <w:t xml:space="preserve"> 2</w:t>
      </w:r>
      <w:r w:rsidR="00847985">
        <w:rPr>
          <w:rFonts w:ascii="Verdana" w:hAnsi="Verdana"/>
          <w:sz w:val="20"/>
          <w:lang w:val="da-DK"/>
        </w:rPr>
        <w:t xml:space="preserve">2. </w:t>
      </w:r>
      <w:r w:rsidR="004C29A0">
        <w:rPr>
          <w:rFonts w:ascii="Verdana" w:hAnsi="Verdana"/>
          <w:sz w:val="20"/>
          <w:lang w:val="da-DK"/>
        </w:rPr>
        <w:t>august 2013</w:t>
      </w:r>
      <w:r>
        <w:rPr>
          <w:rFonts w:ascii="Verdana" w:hAnsi="Verdana"/>
          <w:sz w:val="20"/>
          <w:lang w:val="da-DK"/>
        </w:rPr>
        <w:t xml:space="preserve"> </w:t>
      </w:r>
      <w:r w:rsidR="00D329F8">
        <w:rPr>
          <w:rFonts w:ascii="Verdana" w:hAnsi="Verdana"/>
          <w:sz w:val="20"/>
          <w:lang w:val="da-DK"/>
        </w:rPr>
        <w:t xml:space="preserve">og </w:t>
      </w:r>
      <w:r w:rsidR="00847985">
        <w:rPr>
          <w:rFonts w:ascii="Verdana" w:hAnsi="Verdana"/>
          <w:sz w:val="20"/>
          <w:lang w:val="da-DK"/>
        </w:rPr>
        <w:t>19</w:t>
      </w:r>
      <w:r w:rsidR="00D329F8">
        <w:rPr>
          <w:rFonts w:ascii="Verdana" w:hAnsi="Verdana"/>
          <w:sz w:val="20"/>
          <w:lang w:val="da-DK"/>
        </w:rPr>
        <w:t xml:space="preserve">. </w:t>
      </w:r>
      <w:r w:rsidR="004C29A0">
        <w:rPr>
          <w:rFonts w:ascii="Verdana" w:hAnsi="Verdana"/>
          <w:sz w:val="20"/>
          <w:lang w:val="da-DK"/>
        </w:rPr>
        <w:t>november 2013</w:t>
      </w:r>
      <w:r w:rsidR="00CA4B41">
        <w:rPr>
          <w:rFonts w:ascii="Verdana" w:hAnsi="Verdana"/>
          <w:sz w:val="20"/>
          <w:lang w:val="da-DK"/>
        </w:rPr>
        <w:t xml:space="preserve"> </w:t>
      </w:r>
      <w:r>
        <w:rPr>
          <w:rFonts w:ascii="Verdana" w:hAnsi="Verdana"/>
          <w:sz w:val="20"/>
          <w:lang w:val="da-DK"/>
        </w:rPr>
        <w:t>med deltagelse på mindst et af møderne fra følgende:</w:t>
      </w:r>
    </w:p>
    <w:p w:rsidR="002B412C" w:rsidRDefault="002B412C" w:rsidP="00AF654A">
      <w:pPr>
        <w:rPr>
          <w:rFonts w:ascii="Verdana" w:hAnsi="Verdana"/>
          <w:sz w:val="20"/>
          <w:lang w:val="da-DK"/>
        </w:rPr>
      </w:pPr>
    </w:p>
    <w:p w:rsidR="002B412C" w:rsidRPr="00CB3987" w:rsidRDefault="002B412C" w:rsidP="00AF654A">
      <w:pPr>
        <w:rPr>
          <w:rFonts w:ascii="Verdana" w:hAnsi="Verdana"/>
          <w:sz w:val="20"/>
          <w:u w:val="single"/>
          <w:lang w:val="da-DK"/>
        </w:rPr>
      </w:pPr>
      <w:r w:rsidRPr="00CB3987">
        <w:rPr>
          <w:rFonts w:ascii="Verdana" w:hAnsi="Verdana"/>
          <w:sz w:val="20"/>
          <w:u w:val="single"/>
          <w:lang w:val="da-DK"/>
        </w:rPr>
        <w:t>Organisationer</w:t>
      </w:r>
    </w:p>
    <w:p w:rsidR="002B412C" w:rsidRPr="00CB3987" w:rsidRDefault="002B412C" w:rsidP="00CB3987">
      <w:pPr>
        <w:pStyle w:val="Listeafsnit"/>
        <w:numPr>
          <w:ilvl w:val="0"/>
          <w:numId w:val="3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TI</w:t>
      </w:r>
    </w:p>
    <w:p w:rsidR="002B412C" w:rsidRDefault="002B412C" w:rsidP="00CB3987">
      <w:pPr>
        <w:pStyle w:val="Listeafsnit"/>
        <w:numPr>
          <w:ilvl w:val="0"/>
          <w:numId w:val="3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Forbrugerrådet</w:t>
      </w:r>
    </w:p>
    <w:p w:rsidR="002B412C" w:rsidRPr="00CB3987" w:rsidRDefault="002B412C" w:rsidP="00CB3987">
      <w:pPr>
        <w:pStyle w:val="Listeafsnit"/>
        <w:numPr>
          <w:ilvl w:val="0"/>
          <w:numId w:val="3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ITB</w:t>
      </w:r>
    </w:p>
    <w:p w:rsidR="002B412C" w:rsidRPr="00CB3987" w:rsidRDefault="002B412C" w:rsidP="00CB3987">
      <w:pPr>
        <w:pStyle w:val="Listeafsnit"/>
        <w:numPr>
          <w:ilvl w:val="0"/>
          <w:numId w:val="3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ITEK</w:t>
      </w:r>
    </w:p>
    <w:p w:rsidR="002B412C" w:rsidRDefault="00CA4B41" w:rsidP="00CB3987">
      <w:pPr>
        <w:pStyle w:val="Listeafsnit"/>
        <w:numPr>
          <w:ilvl w:val="0"/>
          <w:numId w:val="3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Danske Medier (tidligere </w:t>
      </w:r>
      <w:r w:rsidR="002B412C" w:rsidRPr="00CB3987">
        <w:rPr>
          <w:rFonts w:ascii="Verdana" w:hAnsi="Verdana"/>
          <w:sz w:val="20"/>
          <w:lang w:val="da-DK"/>
        </w:rPr>
        <w:t>FDIM</w:t>
      </w:r>
      <w:r>
        <w:rPr>
          <w:rFonts w:ascii="Verdana" w:hAnsi="Verdana"/>
          <w:sz w:val="20"/>
          <w:lang w:val="da-DK"/>
        </w:rPr>
        <w:t>)</w:t>
      </w:r>
    </w:p>
    <w:p w:rsidR="00CA4B41" w:rsidRPr="00CB3987" w:rsidRDefault="00CA4B41" w:rsidP="00CB3987">
      <w:pPr>
        <w:pStyle w:val="Listeafsnit"/>
        <w:numPr>
          <w:ilvl w:val="0"/>
          <w:numId w:val="3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Dansk IT</w:t>
      </w:r>
    </w:p>
    <w:p w:rsidR="00D329F8" w:rsidRDefault="002B412C" w:rsidP="00D329F8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FDIH</w:t>
      </w:r>
      <w:r w:rsidR="00D329F8" w:rsidRPr="00D329F8">
        <w:rPr>
          <w:rFonts w:ascii="Verdana" w:hAnsi="Verdana"/>
          <w:sz w:val="20"/>
          <w:lang w:val="da-DK"/>
        </w:rPr>
        <w:t xml:space="preserve"> </w:t>
      </w:r>
    </w:p>
    <w:p w:rsidR="00D329F8" w:rsidRDefault="00D329F8" w:rsidP="00D329F8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Dansk Energi</w:t>
      </w:r>
    </w:p>
    <w:p w:rsidR="00CA4B41" w:rsidRDefault="00CA4B41" w:rsidP="00D329F8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Bitbuerauet </w:t>
      </w:r>
    </w:p>
    <w:p w:rsidR="002B412C" w:rsidRDefault="002B412C" w:rsidP="00CB3987">
      <w:pPr>
        <w:rPr>
          <w:rFonts w:ascii="Verdana" w:hAnsi="Verdana"/>
          <w:sz w:val="20"/>
          <w:lang w:val="da-DK"/>
        </w:rPr>
      </w:pPr>
    </w:p>
    <w:p w:rsidR="002B412C" w:rsidRPr="00CB3987" w:rsidRDefault="002B412C" w:rsidP="00CB3987">
      <w:pPr>
        <w:rPr>
          <w:rFonts w:ascii="Verdana" w:hAnsi="Verdana"/>
          <w:sz w:val="20"/>
          <w:u w:val="single"/>
          <w:lang w:val="da-DK"/>
        </w:rPr>
      </w:pPr>
      <w:r w:rsidRPr="00CB3987">
        <w:rPr>
          <w:rFonts w:ascii="Verdana" w:hAnsi="Verdana"/>
          <w:sz w:val="20"/>
          <w:u w:val="single"/>
          <w:lang w:val="da-DK"/>
        </w:rPr>
        <w:t>Virksomheder</w:t>
      </w:r>
    </w:p>
    <w:p w:rsidR="002B412C" w:rsidRPr="00CB3987" w:rsidRDefault="002B412C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3</w:t>
      </w:r>
    </w:p>
    <w:p w:rsidR="00D329F8" w:rsidRDefault="002B412C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GlobalConnect</w:t>
      </w:r>
    </w:p>
    <w:p w:rsidR="00AA61D8" w:rsidRDefault="00847985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Concepy (ny)</w:t>
      </w:r>
      <w:r w:rsidR="00AA61D8" w:rsidRPr="00AA61D8">
        <w:rPr>
          <w:rFonts w:ascii="Verdana" w:hAnsi="Verdana"/>
          <w:sz w:val="20"/>
          <w:lang w:val="da-DK"/>
        </w:rPr>
        <w:t xml:space="preserve"> </w:t>
      </w:r>
    </w:p>
    <w:p w:rsidR="00847985" w:rsidRDefault="00AA61D8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Google (ny)</w:t>
      </w:r>
    </w:p>
    <w:p w:rsidR="002B412C" w:rsidRPr="00CB3987" w:rsidRDefault="00D329F8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Microsoft</w:t>
      </w:r>
      <w:r w:rsidR="002B412C" w:rsidRPr="00CB3987">
        <w:rPr>
          <w:rFonts w:ascii="Verdana" w:hAnsi="Verdana"/>
          <w:sz w:val="20"/>
          <w:lang w:val="da-DK"/>
        </w:rPr>
        <w:t xml:space="preserve"> </w:t>
      </w:r>
    </w:p>
    <w:p w:rsidR="00D329F8" w:rsidRDefault="002B412C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sz w:val="20"/>
          <w:lang w:val="da-DK"/>
        </w:rPr>
        <w:t>TDC</w:t>
      </w:r>
    </w:p>
    <w:p w:rsidR="002B412C" w:rsidRDefault="00D329F8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Telenor</w:t>
      </w:r>
      <w:r w:rsidR="002B412C" w:rsidRPr="00CB3987">
        <w:rPr>
          <w:rFonts w:ascii="Verdana" w:hAnsi="Verdana"/>
          <w:sz w:val="20"/>
          <w:lang w:val="da-DK"/>
        </w:rPr>
        <w:t xml:space="preserve"> </w:t>
      </w:r>
    </w:p>
    <w:p w:rsidR="00CA4B41" w:rsidRDefault="00CA4B41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Telia</w:t>
      </w:r>
    </w:p>
    <w:p w:rsidR="00847985" w:rsidRPr="00CB3987" w:rsidRDefault="00AA61D8" w:rsidP="00CB3987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Waoo</w:t>
      </w:r>
    </w:p>
    <w:p w:rsidR="00D329F8" w:rsidRDefault="00D329F8" w:rsidP="00AF654A">
      <w:pPr>
        <w:rPr>
          <w:rFonts w:ascii="Verdana" w:hAnsi="Verdana"/>
          <w:sz w:val="20"/>
          <w:lang w:val="da-DK"/>
        </w:rPr>
      </w:pPr>
    </w:p>
    <w:p w:rsidR="00D329F8" w:rsidRDefault="00D329F8" w:rsidP="00AF654A">
      <w:pPr>
        <w:rPr>
          <w:rFonts w:ascii="Verdana" w:hAnsi="Verdana"/>
          <w:sz w:val="20"/>
          <w:u w:val="single"/>
          <w:lang w:val="da-DK"/>
        </w:rPr>
      </w:pPr>
      <w:r w:rsidRPr="00D329F8">
        <w:rPr>
          <w:rFonts w:ascii="Verdana" w:hAnsi="Verdana"/>
          <w:sz w:val="20"/>
          <w:u w:val="single"/>
          <w:lang w:val="da-DK"/>
        </w:rPr>
        <w:t>Myndigheder</w:t>
      </w:r>
    </w:p>
    <w:p w:rsidR="00D329F8" w:rsidRPr="00CB3987" w:rsidRDefault="00CA4B41" w:rsidP="00D329F8">
      <w:pPr>
        <w:pStyle w:val="Listeafsnit"/>
        <w:numPr>
          <w:ilvl w:val="0"/>
          <w:numId w:val="4"/>
        </w:num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Erhvervsstyrelsen </w:t>
      </w:r>
    </w:p>
    <w:p w:rsidR="00D329F8" w:rsidRDefault="00D329F8" w:rsidP="00AF654A">
      <w:pPr>
        <w:rPr>
          <w:rFonts w:ascii="Verdana" w:hAnsi="Verdana"/>
          <w:sz w:val="20"/>
          <w:u w:val="single"/>
          <w:lang w:val="da-DK"/>
        </w:rPr>
      </w:pPr>
    </w:p>
    <w:p w:rsidR="00D329F8" w:rsidRPr="00D329F8" w:rsidRDefault="00D329F8" w:rsidP="00AF654A">
      <w:pPr>
        <w:rPr>
          <w:rFonts w:ascii="Verdana" w:hAnsi="Verdana"/>
          <w:sz w:val="20"/>
          <w:u w:val="single"/>
          <w:lang w:val="da-DK"/>
        </w:rPr>
      </w:pPr>
    </w:p>
    <w:p w:rsidR="002B412C" w:rsidRPr="00AF654A" w:rsidRDefault="002B412C" w:rsidP="00AF654A">
      <w:pPr>
        <w:rPr>
          <w:rFonts w:ascii="Verdana" w:hAnsi="Verdana"/>
          <w:b/>
          <w:sz w:val="24"/>
          <w:szCs w:val="24"/>
          <w:lang w:val="da-DK"/>
        </w:rPr>
      </w:pPr>
      <w:r>
        <w:rPr>
          <w:rFonts w:ascii="Verdana" w:hAnsi="Verdana"/>
          <w:b/>
          <w:sz w:val="24"/>
          <w:szCs w:val="24"/>
          <w:lang w:val="da-DK"/>
        </w:rPr>
        <w:t xml:space="preserve">II </w:t>
      </w:r>
      <w:r w:rsidRPr="00AF654A">
        <w:rPr>
          <w:rFonts w:ascii="Verdana" w:hAnsi="Verdana"/>
          <w:b/>
          <w:sz w:val="24"/>
          <w:szCs w:val="24"/>
          <w:lang w:val="da-DK"/>
        </w:rPr>
        <w:t>Emner</w:t>
      </w:r>
    </w:p>
    <w:p w:rsidR="002B412C" w:rsidRDefault="002B412C" w:rsidP="00AF654A">
      <w:pPr>
        <w:rPr>
          <w:rFonts w:ascii="Verdana" w:hAnsi="Verdana"/>
          <w:sz w:val="20"/>
          <w:lang w:val="da-DK"/>
        </w:rPr>
      </w:pPr>
    </w:p>
    <w:p w:rsidR="002B412C" w:rsidRDefault="00847985" w:rsidP="00AF654A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NEF har behandlet </w:t>
      </w:r>
      <w:r w:rsidR="002B412C">
        <w:rPr>
          <w:rFonts w:ascii="Verdana" w:hAnsi="Verdana"/>
          <w:sz w:val="20"/>
          <w:lang w:val="da-DK"/>
        </w:rPr>
        <w:t xml:space="preserve">følgende: </w:t>
      </w:r>
    </w:p>
    <w:p w:rsidR="002B412C" w:rsidRDefault="002B412C" w:rsidP="00AF654A">
      <w:pPr>
        <w:rPr>
          <w:rFonts w:ascii="Verdana" w:hAnsi="Verdana"/>
          <w:sz w:val="20"/>
          <w:lang w:val="da-DK"/>
        </w:rPr>
      </w:pPr>
    </w:p>
    <w:p w:rsidR="002B412C" w:rsidRDefault="002B412C" w:rsidP="00AF654A">
      <w:pPr>
        <w:rPr>
          <w:rFonts w:ascii="Verdana" w:hAnsi="Verdana"/>
          <w:sz w:val="20"/>
          <w:lang w:val="da-DK"/>
        </w:rPr>
      </w:pPr>
      <w:r w:rsidRPr="00CB3987">
        <w:rPr>
          <w:rFonts w:ascii="Verdana" w:hAnsi="Verdana"/>
          <w:b/>
          <w:sz w:val="20"/>
          <w:lang w:val="da-DK"/>
        </w:rPr>
        <w:t xml:space="preserve">1: </w:t>
      </w:r>
      <w:r w:rsidR="00847985">
        <w:rPr>
          <w:rFonts w:ascii="Verdana" w:hAnsi="Verdana"/>
          <w:b/>
          <w:sz w:val="20"/>
          <w:lang w:val="da-DK"/>
        </w:rPr>
        <w:t xml:space="preserve">Problemer med netneutralitet </w:t>
      </w:r>
    </w:p>
    <w:p w:rsidR="00BA7351" w:rsidRDefault="00847985" w:rsidP="005F62B5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Der har blandt </w:t>
      </w:r>
      <w:r w:rsidR="002C10F2">
        <w:rPr>
          <w:rFonts w:ascii="Verdana" w:hAnsi="Verdana"/>
          <w:sz w:val="20"/>
          <w:lang w:val="da-DK"/>
        </w:rPr>
        <w:t xml:space="preserve">det meget store </w:t>
      </w:r>
      <w:r>
        <w:rPr>
          <w:rFonts w:ascii="Verdana" w:hAnsi="Verdana"/>
          <w:sz w:val="20"/>
          <w:lang w:val="da-DK"/>
        </w:rPr>
        <w:t xml:space="preserve">flertal af deltagerne </w:t>
      </w:r>
      <w:r w:rsidR="00BA7351">
        <w:rPr>
          <w:rFonts w:ascii="Verdana" w:hAnsi="Verdana"/>
          <w:sz w:val="20"/>
          <w:lang w:val="da-DK"/>
        </w:rPr>
        <w:t>ikke</w:t>
      </w:r>
      <w:r>
        <w:rPr>
          <w:rFonts w:ascii="Verdana" w:hAnsi="Verdana"/>
          <w:sz w:val="20"/>
          <w:lang w:val="da-DK"/>
        </w:rPr>
        <w:t xml:space="preserve"> været observeret </w:t>
      </w:r>
      <w:r w:rsidR="002C10F2">
        <w:rPr>
          <w:rFonts w:ascii="Verdana" w:hAnsi="Verdana"/>
          <w:sz w:val="20"/>
          <w:lang w:val="da-DK"/>
        </w:rPr>
        <w:t>konkrete</w:t>
      </w:r>
      <w:r>
        <w:rPr>
          <w:rFonts w:ascii="Verdana" w:hAnsi="Verdana"/>
          <w:sz w:val="20"/>
          <w:lang w:val="da-DK"/>
        </w:rPr>
        <w:t xml:space="preserve"> tilfælde af tiltag fra Internetudbydere</w:t>
      </w:r>
      <w:r w:rsidR="00BA7351">
        <w:rPr>
          <w:rFonts w:ascii="Verdana" w:hAnsi="Verdana"/>
          <w:sz w:val="20"/>
          <w:lang w:val="da-DK"/>
        </w:rPr>
        <w:t>,</w:t>
      </w:r>
      <w:r>
        <w:rPr>
          <w:rFonts w:ascii="Verdana" w:hAnsi="Verdana"/>
          <w:sz w:val="20"/>
          <w:lang w:val="da-DK"/>
        </w:rPr>
        <w:t xml:space="preserve"> der har kunnet karakteriseres som krænkelser af netneutralitet. </w:t>
      </w:r>
    </w:p>
    <w:p w:rsidR="00847985" w:rsidRDefault="00847985" w:rsidP="005F62B5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En enkelt deltager, Forbrugerrådet, finder dog</w:t>
      </w:r>
      <w:r w:rsidR="00BA7351">
        <w:rPr>
          <w:rFonts w:ascii="Verdana" w:hAnsi="Verdana"/>
          <w:sz w:val="20"/>
          <w:lang w:val="da-DK"/>
        </w:rPr>
        <w:t>,</w:t>
      </w:r>
      <w:r>
        <w:rPr>
          <w:rFonts w:ascii="Verdana" w:hAnsi="Verdana"/>
          <w:sz w:val="20"/>
          <w:lang w:val="da-DK"/>
        </w:rPr>
        <w:t xml:space="preserve"> at </w:t>
      </w:r>
      <w:r w:rsidR="00045DEA">
        <w:rPr>
          <w:rFonts w:ascii="Verdana" w:hAnsi="Verdana"/>
          <w:sz w:val="20"/>
          <w:lang w:val="da-DK"/>
        </w:rPr>
        <w:t xml:space="preserve">forbrugernes mulighed for </w:t>
      </w:r>
      <w:r w:rsidR="004C29A0">
        <w:rPr>
          <w:rFonts w:ascii="Verdana" w:hAnsi="Verdana"/>
          <w:sz w:val="20"/>
          <w:lang w:val="da-DK"/>
        </w:rPr>
        <w:t>at vælge</w:t>
      </w:r>
      <w:r w:rsidR="00045DEA">
        <w:rPr>
          <w:rFonts w:ascii="Verdana" w:hAnsi="Verdana"/>
          <w:sz w:val="20"/>
          <w:lang w:val="da-DK"/>
        </w:rPr>
        <w:t xml:space="preserve"> </w:t>
      </w:r>
      <w:r>
        <w:rPr>
          <w:rFonts w:ascii="Verdana" w:hAnsi="Verdana"/>
          <w:sz w:val="20"/>
          <w:lang w:val="da-DK"/>
        </w:rPr>
        <w:t xml:space="preserve">bundlede </w:t>
      </w:r>
      <w:r w:rsidR="00045DEA">
        <w:rPr>
          <w:rFonts w:ascii="Verdana" w:hAnsi="Verdana"/>
          <w:sz w:val="20"/>
          <w:lang w:val="da-DK"/>
        </w:rPr>
        <w:t>ydelser, der f.eks. ikke indgår i data caps</w:t>
      </w:r>
      <w:r w:rsidR="00BA7351">
        <w:rPr>
          <w:rFonts w:ascii="Verdana" w:hAnsi="Verdana"/>
          <w:sz w:val="20"/>
          <w:lang w:val="da-DK"/>
        </w:rPr>
        <w:t>,</w:t>
      </w:r>
      <w:r w:rsidR="00045DEA">
        <w:rPr>
          <w:rFonts w:ascii="Verdana" w:hAnsi="Verdana"/>
          <w:sz w:val="20"/>
          <w:lang w:val="da-DK"/>
        </w:rPr>
        <w:t xml:space="preserve"> </w:t>
      </w:r>
      <w:r>
        <w:rPr>
          <w:rFonts w:ascii="Verdana" w:hAnsi="Verdana"/>
          <w:sz w:val="20"/>
          <w:lang w:val="da-DK"/>
        </w:rPr>
        <w:t>udgør et problem</w:t>
      </w:r>
      <w:r w:rsidR="00BA7351">
        <w:rPr>
          <w:rFonts w:ascii="Verdana" w:hAnsi="Verdana"/>
          <w:sz w:val="20"/>
          <w:lang w:val="da-DK"/>
        </w:rPr>
        <w:t xml:space="preserve"> i forhold til netneutralitet</w:t>
      </w:r>
      <w:r w:rsidR="00045DEA">
        <w:rPr>
          <w:rFonts w:ascii="Verdana" w:hAnsi="Verdana"/>
          <w:sz w:val="20"/>
          <w:lang w:val="da-DK"/>
        </w:rPr>
        <w:t>.</w:t>
      </w:r>
    </w:p>
    <w:p w:rsidR="00847985" w:rsidRDefault="00847985" w:rsidP="005F62B5">
      <w:pPr>
        <w:rPr>
          <w:rFonts w:ascii="Verdana" w:hAnsi="Verdana"/>
          <w:sz w:val="20"/>
          <w:lang w:val="da-DK"/>
        </w:rPr>
      </w:pPr>
    </w:p>
    <w:p w:rsidR="00045DEA" w:rsidRPr="00045DEA" w:rsidRDefault="00045DEA" w:rsidP="005F62B5">
      <w:pPr>
        <w:rPr>
          <w:rFonts w:ascii="Verdana" w:hAnsi="Verdana"/>
          <w:b/>
          <w:sz w:val="20"/>
          <w:lang w:val="da-DK"/>
        </w:rPr>
      </w:pPr>
      <w:r w:rsidRPr="00045DEA">
        <w:rPr>
          <w:rFonts w:ascii="Verdana" w:hAnsi="Verdana"/>
          <w:b/>
          <w:sz w:val="20"/>
          <w:lang w:val="da-DK"/>
        </w:rPr>
        <w:t>2</w:t>
      </w:r>
      <w:r>
        <w:rPr>
          <w:rFonts w:ascii="Verdana" w:hAnsi="Verdana"/>
          <w:b/>
          <w:sz w:val="20"/>
          <w:lang w:val="da-DK"/>
        </w:rPr>
        <w:t>:</w:t>
      </w:r>
      <w:r w:rsidRPr="00045DEA">
        <w:rPr>
          <w:rFonts w:ascii="Verdana" w:hAnsi="Verdana"/>
          <w:b/>
          <w:sz w:val="20"/>
          <w:lang w:val="da-DK"/>
        </w:rPr>
        <w:t xml:space="preserve"> Transparens og Kommissionens ’indre marked’ forslag </w:t>
      </w:r>
    </w:p>
    <w:p w:rsidR="00045DEA" w:rsidRDefault="00045DEA" w:rsidP="005F579C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Oplæg fra TI om en supplering af </w:t>
      </w:r>
      <w:r w:rsidR="00BA7351">
        <w:rPr>
          <w:rFonts w:ascii="Verdana" w:hAnsi="Verdana"/>
          <w:sz w:val="20"/>
          <w:lang w:val="da-DK"/>
        </w:rPr>
        <w:t>brancheaftale</w:t>
      </w:r>
      <w:r>
        <w:rPr>
          <w:rFonts w:ascii="Verdana" w:hAnsi="Verdana"/>
          <w:sz w:val="20"/>
          <w:lang w:val="da-DK"/>
        </w:rPr>
        <w:t xml:space="preserve"> om deklaration af bredbåndshastighed og </w:t>
      </w:r>
      <w:r w:rsidR="00BA7351">
        <w:rPr>
          <w:rFonts w:ascii="Verdana" w:hAnsi="Verdana"/>
          <w:sz w:val="20"/>
          <w:lang w:val="da-DK"/>
        </w:rPr>
        <w:t xml:space="preserve">af </w:t>
      </w:r>
      <w:r>
        <w:rPr>
          <w:rFonts w:ascii="Verdana" w:hAnsi="Verdana"/>
          <w:sz w:val="20"/>
          <w:lang w:val="da-DK"/>
        </w:rPr>
        <w:t xml:space="preserve">priser med </w:t>
      </w:r>
      <w:r w:rsidR="00BA7351">
        <w:rPr>
          <w:rFonts w:ascii="Verdana" w:hAnsi="Verdana"/>
          <w:sz w:val="20"/>
          <w:lang w:val="da-DK"/>
        </w:rPr>
        <w:t xml:space="preserve">et deklarations skema, der </w:t>
      </w:r>
      <w:r>
        <w:rPr>
          <w:rFonts w:ascii="Verdana" w:hAnsi="Verdana"/>
          <w:sz w:val="20"/>
          <w:lang w:val="da-DK"/>
        </w:rPr>
        <w:t>oplys</w:t>
      </w:r>
      <w:r w:rsidR="00BA7351">
        <w:rPr>
          <w:rFonts w:ascii="Verdana" w:hAnsi="Verdana"/>
          <w:sz w:val="20"/>
          <w:lang w:val="da-DK"/>
        </w:rPr>
        <w:t xml:space="preserve">er </w:t>
      </w:r>
      <w:r>
        <w:rPr>
          <w:rFonts w:ascii="Verdana" w:hAnsi="Verdana"/>
          <w:sz w:val="20"/>
          <w:lang w:val="da-DK"/>
        </w:rPr>
        <w:t xml:space="preserve">om </w:t>
      </w:r>
      <w:r>
        <w:rPr>
          <w:rFonts w:ascii="Verdana" w:hAnsi="Verdana"/>
          <w:sz w:val="20"/>
          <w:lang w:val="da-DK"/>
        </w:rPr>
        <w:lastRenderedPageBreak/>
        <w:t>eventuelle begrænsninger</w:t>
      </w:r>
      <w:r w:rsidR="00BA7351">
        <w:rPr>
          <w:rFonts w:ascii="Verdana" w:hAnsi="Verdana"/>
          <w:sz w:val="20"/>
          <w:lang w:val="da-DK"/>
        </w:rPr>
        <w:t xml:space="preserve"> i bestemte abonnementer med udgangspunkt i</w:t>
      </w:r>
      <w:r>
        <w:rPr>
          <w:rFonts w:ascii="Verdana" w:hAnsi="Verdana"/>
          <w:sz w:val="20"/>
          <w:lang w:val="da-DK"/>
        </w:rPr>
        <w:t xml:space="preserve"> </w:t>
      </w:r>
      <w:r w:rsidR="00BA7351">
        <w:rPr>
          <w:rFonts w:ascii="Verdana" w:hAnsi="Verdana"/>
          <w:sz w:val="20"/>
          <w:lang w:val="da-DK"/>
        </w:rPr>
        <w:t xml:space="preserve">engelsk eksempel fremlagt på </w:t>
      </w:r>
      <w:r>
        <w:rPr>
          <w:rFonts w:ascii="Verdana" w:hAnsi="Verdana"/>
          <w:sz w:val="20"/>
          <w:lang w:val="da-DK"/>
        </w:rPr>
        <w:t>Workshop januar 2012 om</w:t>
      </w:r>
      <w:r w:rsidR="00F50EF1">
        <w:rPr>
          <w:rFonts w:ascii="Verdana" w:hAnsi="Verdana"/>
          <w:sz w:val="20"/>
          <w:lang w:val="da-DK"/>
        </w:rPr>
        <w:t>,</w:t>
      </w:r>
      <w:r>
        <w:rPr>
          <w:rFonts w:ascii="Verdana" w:hAnsi="Verdana"/>
          <w:sz w:val="20"/>
          <w:lang w:val="da-DK"/>
        </w:rPr>
        <w:t xml:space="preserve"> blev diskuteret på møderne i januar og august.</w:t>
      </w:r>
    </w:p>
    <w:p w:rsidR="00F50EF1" w:rsidRDefault="00F50EF1" w:rsidP="005F579C">
      <w:pPr>
        <w:rPr>
          <w:rFonts w:ascii="Verdana" w:hAnsi="Verdana"/>
          <w:sz w:val="20"/>
          <w:lang w:val="da-DK"/>
        </w:rPr>
      </w:pPr>
    </w:p>
    <w:p w:rsidR="00BA7351" w:rsidRDefault="00045DEA" w:rsidP="005F579C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I lyset af at Kommissionen </w:t>
      </w:r>
      <w:r w:rsidR="00BA7351">
        <w:rPr>
          <w:rFonts w:ascii="Verdana" w:hAnsi="Verdana"/>
          <w:sz w:val="20"/>
          <w:lang w:val="da-DK"/>
        </w:rPr>
        <w:t xml:space="preserve">11. </w:t>
      </w:r>
      <w:r>
        <w:rPr>
          <w:rFonts w:ascii="Verdana" w:hAnsi="Verdana"/>
          <w:sz w:val="20"/>
          <w:lang w:val="da-DK"/>
        </w:rPr>
        <w:t xml:space="preserve">september fremlagde forslag til </w:t>
      </w:r>
      <w:r w:rsidR="00BA7351">
        <w:rPr>
          <w:rFonts w:ascii="Verdana" w:hAnsi="Verdana"/>
          <w:sz w:val="20"/>
          <w:lang w:val="da-DK"/>
        </w:rPr>
        <w:t xml:space="preserve">en </w:t>
      </w:r>
      <w:r>
        <w:rPr>
          <w:rFonts w:ascii="Verdana" w:hAnsi="Verdana"/>
          <w:sz w:val="20"/>
          <w:lang w:val="da-DK"/>
        </w:rPr>
        <w:t>Forordning</w:t>
      </w:r>
      <w:r w:rsidR="00BA7351">
        <w:rPr>
          <w:rFonts w:ascii="Verdana" w:hAnsi="Verdana"/>
          <w:sz w:val="20"/>
          <w:lang w:val="da-DK"/>
        </w:rPr>
        <w:t xml:space="preserve"> (</w:t>
      </w:r>
      <w:r w:rsidR="00BA7351" w:rsidRPr="00BA7351">
        <w:rPr>
          <w:rFonts w:ascii="Verdana" w:hAnsi="Verdana"/>
          <w:i/>
          <w:sz w:val="20"/>
          <w:lang w:val="da-DK"/>
        </w:rPr>
        <w:t>Telecom Single Market</w:t>
      </w:r>
      <w:r w:rsidR="008B63DA">
        <w:rPr>
          <w:rFonts w:ascii="Verdana" w:hAnsi="Verdana"/>
          <w:sz w:val="20"/>
          <w:lang w:val="da-DK"/>
        </w:rPr>
        <w:t>)</w:t>
      </w:r>
      <w:r>
        <w:rPr>
          <w:rFonts w:ascii="Verdana" w:hAnsi="Verdana"/>
          <w:sz w:val="20"/>
          <w:lang w:val="da-DK"/>
        </w:rPr>
        <w:t>, der blandt andet vil behandle netneutralitet og som vil træde i stedet for den tidligere bebudede Henstilling om netneutralitet, var der enig</w:t>
      </w:r>
      <w:r w:rsidR="00BA7351">
        <w:rPr>
          <w:rFonts w:ascii="Verdana" w:hAnsi="Verdana"/>
          <w:sz w:val="20"/>
          <w:lang w:val="da-DK"/>
        </w:rPr>
        <w:t>hed</w:t>
      </w:r>
      <w:r>
        <w:rPr>
          <w:rFonts w:ascii="Verdana" w:hAnsi="Verdana"/>
          <w:sz w:val="20"/>
          <w:lang w:val="da-DK"/>
        </w:rPr>
        <w:t xml:space="preserve"> om stille arbejdet</w:t>
      </w:r>
      <w:r w:rsidR="00BA7351">
        <w:rPr>
          <w:rFonts w:ascii="Verdana" w:hAnsi="Verdana"/>
          <w:sz w:val="20"/>
          <w:lang w:val="da-DK"/>
        </w:rPr>
        <w:t xml:space="preserve"> med TI skema</w:t>
      </w:r>
      <w:r>
        <w:rPr>
          <w:rFonts w:ascii="Verdana" w:hAnsi="Verdana"/>
          <w:sz w:val="20"/>
          <w:lang w:val="da-DK"/>
        </w:rPr>
        <w:t xml:space="preserve"> i bero.</w:t>
      </w:r>
    </w:p>
    <w:p w:rsidR="004C29A0" w:rsidRDefault="00045DEA" w:rsidP="00AA61D8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Den fremtidige ramme for en eventuel regulering af netneutralitet skal være afklaret</w:t>
      </w:r>
      <w:r w:rsidR="00BA7351">
        <w:rPr>
          <w:rFonts w:ascii="Verdana" w:hAnsi="Verdana"/>
          <w:sz w:val="20"/>
          <w:lang w:val="da-DK"/>
        </w:rPr>
        <w:t>,</w:t>
      </w:r>
      <w:r>
        <w:rPr>
          <w:rFonts w:ascii="Verdana" w:hAnsi="Verdana"/>
          <w:sz w:val="20"/>
          <w:lang w:val="da-DK"/>
        </w:rPr>
        <w:t xml:space="preserve"> førend det giver mening at iværksætte en national tilgang, specielt hvis de hidtidige muligheder for en selv-regulering bliver indskrænket. Det må således af</w:t>
      </w:r>
      <w:r w:rsidR="00BA7351">
        <w:rPr>
          <w:rFonts w:ascii="Verdana" w:hAnsi="Verdana"/>
          <w:sz w:val="20"/>
          <w:lang w:val="da-DK"/>
        </w:rPr>
        <w:t>vente,</w:t>
      </w:r>
      <w:r>
        <w:rPr>
          <w:rFonts w:ascii="Verdana" w:hAnsi="Verdana"/>
          <w:sz w:val="20"/>
          <w:lang w:val="da-DK"/>
        </w:rPr>
        <w:t xml:space="preserve"> hvilke eventuelle krav den kommende Forordning stiller før det </w:t>
      </w:r>
      <w:r w:rsidR="00BA7351">
        <w:rPr>
          <w:rFonts w:ascii="Verdana" w:hAnsi="Verdana"/>
          <w:sz w:val="20"/>
          <w:lang w:val="da-DK"/>
        </w:rPr>
        <w:t xml:space="preserve">er </w:t>
      </w:r>
      <w:r>
        <w:rPr>
          <w:rFonts w:ascii="Verdana" w:hAnsi="Verdana"/>
          <w:sz w:val="20"/>
          <w:lang w:val="da-DK"/>
        </w:rPr>
        <w:t xml:space="preserve">meningsfuldt at se </w:t>
      </w:r>
      <w:r w:rsidR="00BA7351">
        <w:rPr>
          <w:rFonts w:ascii="Verdana" w:hAnsi="Verdana"/>
          <w:sz w:val="20"/>
          <w:lang w:val="da-DK"/>
        </w:rPr>
        <w:t xml:space="preserve">på, </w:t>
      </w:r>
      <w:r>
        <w:rPr>
          <w:rFonts w:ascii="Verdana" w:hAnsi="Verdana"/>
          <w:sz w:val="20"/>
          <w:lang w:val="da-DK"/>
        </w:rPr>
        <w:t xml:space="preserve">hvordan sådanne krav bedst </w:t>
      </w:r>
      <w:r w:rsidR="00BA7351">
        <w:rPr>
          <w:rFonts w:ascii="Verdana" w:hAnsi="Verdana"/>
          <w:sz w:val="20"/>
          <w:lang w:val="da-DK"/>
        </w:rPr>
        <w:t xml:space="preserve">implementeres </w:t>
      </w:r>
      <w:r>
        <w:rPr>
          <w:rFonts w:ascii="Verdana" w:hAnsi="Verdana"/>
          <w:sz w:val="20"/>
          <w:lang w:val="da-DK"/>
        </w:rPr>
        <w:t>i Danmark</w:t>
      </w:r>
      <w:r w:rsidR="00AA61D8">
        <w:rPr>
          <w:rFonts w:ascii="Verdana" w:hAnsi="Verdana"/>
          <w:sz w:val="20"/>
          <w:lang w:val="da-DK"/>
        </w:rPr>
        <w:t xml:space="preserve">. </w:t>
      </w:r>
    </w:p>
    <w:p w:rsidR="004C29A0" w:rsidRDefault="004C29A0" w:rsidP="00AA61D8">
      <w:pPr>
        <w:rPr>
          <w:rFonts w:ascii="Verdana" w:hAnsi="Verdana"/>
          <w:sz w:val="20"/>
          <w:lang w:val="da-DK"/>
        </w:rPr>
      </w:pPr>
    </w:p>
    <w:p w:rsidR="004C29A0" w:rsidRDefault="004C29A0" w:rsidP="00AA61D8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På møde 19. november i N</w:t>
      </w:r>
      <w:r w:rsidRPr="004C29A0">
        <w:rPr>
          <w:rFonts w:ascii="Verdana" w:hAnsi="Verdana"/>
          <w:sz w:val="20"/>
          <w:lang w:val="da-DK"/>
        </w:rPr>
        <w:t>etneutralitets</w:t>
      </w:r>
      <w:r>
        <w:rPr>
          <w:rFonts w:ascii="Verdana" w:hAnsi="Verdana"/>
          <w:sz w:val="20"/>
          <w:lang w:val="da-DK"/>
        </w:rPr>
        <w:t xml:space="preserve"> F</w:t>
      </w:r>
      <w:r w:rsidRPr="004C29A0">
        <w:rPr>
          <w:rFonts w:ascii="Verdana" w:hAnsi="Verdana"/>
          <w:sz w:val="20"/>
          <w:lang w:val="da-DK"/>
        </w:rPr>
        <w:t>orum blev det aftalt</w:t>
      </w:r>
      <w:r>
        <w:rPr>
          <w:rFonts w:ascii="Verdana" w:hAnsi="Verdana"/>
          <w:sz w:val="20"/>
          <w:lang w:val="da-DK"/>
        </w:rPr>
        <w:t>,</w:t>
      </w:r>
      <w:r w:rsidRPr="004C29A0">
        <w:rPr>
          <w:rFonts w:ascii="Verdana" w:hAnsi="Verdana"/>
          <w:sz w:val="20"/>
          <w:lang w:val="da-DK"/>
        </w:rPr>
        <w:t xml:space="preserve"> at fastlæggelse af mål for implementering af bestemmelserne om netneutralitet i </w:t>
      </w:r>
      <w:r>
        <w:rPr>
          <w:rFonts w:ascii="Verdana" w:hAnsi="Verdana"/>
          <w:sz w:val="20"/>
          <w:lang w:val="da-DK"/>
        </w:rPr>
        <w:t xml:space="preserve"> Forordningen, når den foreligger i endelig udgave, forventes at ske i regi af N</w:t>
      </w:r>
      <w:r w:rsidRPr="004C29A0">
        <w:rPr>
          <w:rFonts w:ascii="Verdana" w:hAnsi="Verdana"/>
          <w:sz w:val="20"/>
          <w:lang w:val="da-DK"/>
        </w:rPr>
        <w:t>etneutralitets</w:t>
      </w:r>
      <w:r>
        <w:rPr>
          <w:rFonts w:ascii="Verdana" w:hAnsi="Verdana"/>
          <w:sz w:val="20"/>
          <w:lang w:val="da-DK"/>
        </w:rPr>
        <w:t xml:space="preserve"> F</w:t>
      </w:r>
      <w:r w:rsidRPr="004C29A0">
        <w:rPr>
          <w:rFonts w:ascii="Verdana" w:hAnsi="Verdana"/>
          <w:sz w:val="20"/>
          <w:lang w:val="da-DK"/>
        </w:rPr>
        <w:t xml:space="preserve">orum, da der blandt medlemmerne </w:t>
      </w:r>
      <w:r>
        <w:rPr>
          <w:rFonts w:ascii="Verdana" w:hAnsi="Verdana"/>
          <w:sz w:val="20"/>
          <w:lang w:val="da-DK"/>
        </w:rPr>
        <w:t>er</w:t>
      </w:r>
      <w:r w:rsidRPr="004C29A0">
        <w:rPr>
          <w:rFonts w:ascii="Verdana" w:hAnsi="Verdana"/>
          <w:sz w:val="20"/>
          <w:lang w:val="da-DK"/>
        </w:rPr>
        <w:t xml:space="preserve"> enighed om</w:t>
      </w:r>
      <w:r>
        <w:rPr>
          <w:rFonts w:ascii="Verdana" w:hAnsi="Verdana"/>
          <w:sz w:val="20"/>
          <w:lang w:val="da-DK"/>
        </w:rPr>
        <w:t>,</w:t>
      </w:r>
      <w:r w:rsidRPr="004C29A0">
        <w:rPr>
          <w:rFonts w:ascii="Verdana" w:hAnsi="Verdana"/>
          <w:sz w:val="20"/>
          <w:lang w:val="da-DK"/>
        </w:rPr>
        <w:t xml:space="preserve"> at det </w:t>
      </w:r>
      <w:r>
        <w:rPr>
          <w:rFonts w:ascii="Verdana" w:hAnsi="Verdana"/>
          <w:sz w:val="20"/>
          <w:lang w:val="da-DK"/>
        </w:rPr>
        <w:t>e</w:t>
      </w:r>
      <w:r w:rsidRPr="004C29A0">
        <w:rPr>
          <w:rFonts w:ascii="Verdana" w:hAnsi="Verdana"/>
          <w:sz w:val="20"/>
          <w:lang w:val="da-DK"/>
        </w:rPr>
        <w:t>r det rette forum.</w:t>
      </w:r>
    </w:p>
    <w:p w:rsidR="004C29A0" w:rsidRDefault="004C29A0" w:rsidP="00AA61D8">
      <w:pPr>
        <w:rPr>
          <w:rFonts w:ascii="Verdana" w:hAnsi="Verdana"/>
          <w:sz w:val="20"/>
          <w:lang w:val="da-DK"/>
        </w:rPr>
      </w:pPr>
    </w:p>
    <w:p w:rsidR="00AA61D8" w:rsidRPr="00AA61D8" w:rsidRDefault="00AA61D8" w:rsidP="00AA61D8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>Når endelig version af Kommissionens forslag er på plads</w:t>
      </w:r>
      <w:r w:rsidR="004C29A0">
        <w:rPr>
          <w:rFonts w:ascii="Verdana" w:hAnsi="Verdana"/>
          <w:sz w:val="20"/>
          <w:lang w:val="da-DK"/>
        </w:rPr>
        <w:t>,</w:t>
      </w:r>
      <w:r>
        <w:rPr>
          <w:rFonts w:ascii="Verdana" w:hAnsi="Verdana"/>
          <w:sz w:val="20"/>
          <w:lang w:val="da-DK"/>
        </w:rPr>
        <w:t xml:space="preserve"> vil </w:t>
      </w:r>
      <w:r w:rsidR="004C29A0">
        <w:rPr>
          <w:rFonts w:ascii="Verdana" w:hAnsi="Verdana"/>
          <w:sz w:val="20"/>
          <w:lang w:val="da-DK"/>
        </w:rPr>
        <w:t>Forum</w:t>
      </w:r>
      <w:r>
        <w:rPr>
          <w:rFonts w:ascii="Verdana" w:hAnsi="Verdana"/>
          <w:sz w:val="20"/>
          <w:lang w:val="da-DK"/>
        </w:rPr>
        <w:t xml:space="preserve"> </w:t>
      </w:r>
      <w:r w:rsidR="004C29A0">
        <w:rPr>
          <w:rFonts w:ascii="Verdana" w:hAnsi="Verdana"/>
          <w:sz w:val="20"/>
          <w:lang w:val="da-DK"/>
        </w:rPr>
        <w:t xml:space="preserve">derfor </w:t>
      </w:r>
      <w:r w:rsidRPr="00AA61D8">
        <w:rPr>
          <w:rFonts w:ascii="Verdana" w:hAnsi="Verdana"/>
          <w:sz w:val="20"/>
          <w:lang w:val="da-DK"/>
        </w:rPr>
        <w:t xml:space="preserve">analysere afvigelserne ift. eksisterende danske regler og selvregulering </w:t>
      </w:r>
      <w:r>
        <w:rPr>
          <w:rFonts w:ascii="Verdana" w:hAnsi="Verdana"/>
          <w:sz w:val="20"/>
          <w:lang w:val="da-DK"/>
        </w:rPr>
        <w:t xml:space="preserve">samt </w:t>
      </w:r>
      <w:r w:rsidRPr="00AA61D8">
        <w:rPr>
          <w:rFonts w:ascii="Verdana" w:hAnsi="Verdana"/>
          <w:sz w:val="20"/>
          <w:lang w:val="da-DK"/>
        </w:rPr>
        <w:t>eventuelle behov for ændringer.</w:t>
      </w:r>
    </w:p>
    <w:p w:rsidR="00045DEA" w:rsidRDefault="00045DEA" w:rsidP="005F579C">
      <w:pPr>
        <w:rPr>
          <w:rFonts w:ascii="Verdana" w:hAnsi="Verdana"/>
          <w:sz w:val="20"/>
          <w:lang w:val="da-DK"/>
        </w:rPr>
      </w:pPr>
    </w:p>
    <w:p w:rsidR="002B412C" w:rsidRDefault="00F50EF1" w:rsidP="00A019CC">
      <w:pPr>
        <w:rPr>
          <w:rFonts w:ascii="Verdana" w:hAnsi="Verdana"/>
          <w:b/>
          <w:sz w:val="24"/>
          <w:szCs w:val="24"/>
          <w:lang w:val="da-DK"/>
        </w:rPr>
      </w:pPr>
      <w:r>
        <w:rPr>
          <w:rFonts w:ascii="Verdana" w:hAnsi="Verdana"/>
          <w:b/>
          <w:sz w:val="20"/>
          <w:lang w:val="da-DK"/>
        </w:rPr>
        <w:t>3</w:t>
      </w:r>
      <w:r w:rsidR="002B412C" w:rsidRPr="006C68CE">
        <w:rPr>
          <w:rFonts w:ascii="Verdana" w:hAnsi="Verdana"/>
          <w:b/>
          <w:sz w:val="20"/>
          <w:lang w:val="da-DK"/>
        </w:rPr>
        <w:t>: Blokering af mVoIP</w:t>
      </w:r>
    </w:p>
    <w:p w:rsidR="00F50EF1" w:rsidRDefault="00F50EF1" w:rsidP="005F62B5">
      <w:pPr>
        <w:rPr>
          <w:rFonts w:ascii="Verdana" w:hAnsi="Verdana" w:cs="Arial"/>
          <w:sz w:val="20"/>
          <w:lang w:val="da-DK"/>
        </w:rPr>
      </w:pPr>
      <w:r>
        <w:rPr>
          <w:rFonts w:ascii="Verdana" w:hAnsi="Verdana" w:cs="Arial"/>
          <w:sz w:val="20"/>
          <w:lang w:val="da-DK"/>
        </w:rPr>
        <w:t>En</w:t>
      </w:r>
      <w:r w:rsidR="002B412C" w:rsidRPr="005F62B5">
        <w:rPr>
          <w:rFonts w:ascii="Verdana" w:hAnsi="Verdana" w:cs="Arial"/>
          <w:sz w:val="20"/>
          <w:lang w:val="da-DK"/>
        </w:rPr>
        <w:t xml:space="preserve"> række </w:t>
      </w:r>
      <w:r w:rsidR="00AD6CDC">
        <w:rPr>
          <w:rFonts w:ascii="Verdana" w:hAnsi="Verdana" w:cs="Arial"/>
          <w:sz w:val="20"/>
          <w:lang w:val="da-DK"/>
        </w:rPr>
        <w:t>TI medlemmer</w:t>
      </w:r>
      <w:r w:rsidR="002B412C">
        <w:rPr>
          <w:rFonts w:ascii="Verdana" w:hAnsi="Verdana" w:cs="Arial"/>
          <w:sz w:val="20"/>
          <w:lang w:val="da-DK"/>
        </w:rPr>
        <w:t xml:space="preserve"> </w:t>
      </w:r>
      <w:r w:rsidR="00B20135">
        <w:rPr>
          <w:rFonts w:ascii="Verdana" w:hAnsi="Verdana" w:cs="Arial"/>
          <w:sz w:val="20"/>
          <w:lang w:val="da-DK"/>
        </w:rPr>
        <w:t xml:space="preserve">har </w:t>
      </w:r>
      <w:r>
        <w:rPr>
          <w:rFonts w:ascii="Verdana" w:hAnsi="Verdana" w:cs="Arial"/>
          <w:sz w:val="20"/>
          <w:lang w:val="da-DK"/>
        </w:rPr>
        <w:t xml:space="preserve">tidligere </w:t>
      </w:r>
      <w:r w:rsidR="00B20135">
        <w:rPr>
          <w:rFonts w:ascii="Verdana" w:hAnsi="Verdana" w:cs="Arial"/>
          <w:sz w:val="20"/>
          <w:lang w:val="da-DK"/>
        </w:rPr>
        <w:t xml:space="preserve">taget </w:t>
      </w:r>
      <w:r w:rsidR="002B412C" w:rsidRPr="005F62B5">
        <w:rPr>
          <w:rFonts w:ascii="Verdana" w:hAnsi="Verdana" w:cs="Arial"/>
          <w:sz w:val="20"/>
          <w:lang w:val="da-DK"/>
        </w:rPr>
        <w:t xml:space="preserve">forbehold i abonnementsvilkår mhp. at kunne blokere for VoIP på nogle </w:t>
      </w:r>
      <w:r w:rsidR="00BA7351">
        <w:rPr>
          <w:rFonts w:ascii="Verdana" w:hAnsi="Verdana" w:cs="Arial"/>
          <w:sz w:val="20"/>
          <w:lang w:val="da-DK"/>
        </w:rPr>
        <w:t>(mobil)</w:t>
      </w:r>
      <w:r w:rsidR="002B412C" w:rsidRPr="005F62B5">
        <w:rPr>
          <w:rFonts w:ascii="Verdana" w:hAnsi="Verdana" w:cs="Arial"/>
          <w:sz w:val="20"/>
          <w:lang w:val="da-DK"/>
        </w:rPr>
        <w:t>abonnement</w:t>
      </w:r>
      <w:r w:rsidR="002B412C">
        <w:rPr>
          <w:rFonts w:ascii="Verdana" w:hAnsi="Verdana" w:cs="Arial"/>
          <w:sz w:val="20"/>
          <w:lang w:val="da-DK"/>
        </w:rPr>
        <w:t xml:space="preserve">styper </w:t>
      </w:r>
      <w:r>
        <w:rPr>
          <w:rFonts w:ascii="Verdana" w:hAnsi="Verdana" w:cs="Arial"/>
          <w:sz w:val="20"/>
          <w:lang w:val="da-DK"/>
        </w:rPr>
        <w:t xml:space="preserve">og det var </w:t>
      </w:r>
      <w:r w:rsidR="00B20135">
        <w:rPr>
          <w:rFonts w:ascii="Verdana" w:hAnsi="Verdana" w:cs="Arial"/>
          <w:sz w:val="20"/>
          <w:lang w:val="da-DK"/>
        </w:rPr>
        <w:t xml:space="preserve">fortsat genstand for diskussion </w:t>
      </w:r>
      <w:r>
        <w:rPr>
          <w:rFonts w:ascii="Verdana" w:hAnsi="Verdana" w:cs="Arial"/>
          <w:sz w:val="20"/>
          <w:lang w:val="da-DK"/>
        </w:rPr>
        <w:t>i 2013</w:t>
      </w:r>
      <w:r w:rsidR="00BA7351">
        <w:rPr>
          <w:rFonts w:ascii="Verdana" w:hAnsi="Verdana" w:cs="Arial"/>
          <w:sz w:val="20"/>
          <w:lang w:val="da-DK"/>
        </w:rPr>
        <w:t xml:space="preserve">. Denne mulighed blev </w:t>
      </w:r>
      <w:r w:rsidR="00B20135">
        <w:rPr>
          <w:rFonts w:ascii="Verdana" w:hAnsi="Verdana" w:cs="Arial"/>
          <w:sz w:val="20"/>
          <w:lang w:val="da-DK"/>
        </w:rPr>
        <w:t>fra F</w:t>
      </w:r>
      <w:r w:rsidR="00B20135" w:rsidRPr="005F62B5">
        <w:rPr>
          <w:rFonts w:ascii="Verdana" w:hAnsi="Verdana" w:cs="Arial"/>
          <w:sz w:val="20"/>
          <w:lang w:val="da-DK"/>
        </w:rPr>
        <w:t>orbrugerrådets side</w:t>
      </w:r>
      <w:r w:rsidR="00AD6CDC">
        <w:rPr>
          <w:rFonts w:ascii="Verdana" w:hAnsi="Verdana" w:cs="Arial"/>
          <w:sz w:val="20"/>
          <w:lang w:val="da-DK"/>
        </w:rPr>
        <w:t>,</w:t>
      </w:r>
      <w:r w:rsidR="00B20135" w:rsidRPr="005F62B5">
        <w:rPr>
          <w:rFonts w:ascii="Verdana" w:hAnsi="Verdana" w:cs="Arial"/>
          <w:sz w:val="20"/>
          <w:lang w:val="da-DK"/>
        </w:rPr>
        <w:t xml:space="preserve"> </w:t>
      </w:r>
      <w:r w:rsidR="00B20135">
        <w:rPr>
          <w:rFonts w:ascii="Verdana" w:hAnsi="Verdana" w:cs="Arial"/>
          <w:sz w:val="20"/>
          <w:lang w:val="da-DK"/>
        </w:rPr>
        <w:t>uanset a</w:t>
      </w:r>
      <w:r w:rsidR="00AD6CDC">
        <w:rPr>
          <w:rFonts w:ascii="Verdana" w:hAnsi="Verdana" w:cs="Arial"/>
          <w:sz w:val="20"/>
          <w:lang w:val="da-DK"/>
        </w:rPr>
        <w:t xml:space="preserve">t forbehold ikke var aktiveret, </w:t>
      </w:r>
      <w:r w:rsidR="00B20135" w:rsidRPr="005F62B5">
        <w:rPr>
          <w:rFonts w:ascii="Verdana" w:hAnsi="Verdana" w:cs="Arial"/>
          <w:sz w:val="20"/>
          <w:lang w:val="da-DK"/>
        </w:rPr>
        <w:t xml:space="preserve">set som en krænkelse af </w:t>
      </w:r>
      <w:r w:rsidR="00B20135">
        <w:rPr>
          <w:rFonts w:ascii="Verdana" w:hAnsi="Verdana" w:cs="Arial"/>
          <w:sz w:val="20"/>
          <w:lang w:val="da-DK"/>
        </w:rPr>
        <w:t>netneutralitet</w:t>
      </w:r>
      <w:r w:rsidR="00BA7351">
        <w:rPr>
          <w:rFonts w:ascii="Verdana" w:hAnsi="Verdana" w:cs="Arial"/>
          <w:sz w:val="20"/>
          <w:lang w:val="da-DK"/>
        </w:rPr>
        <w:t xml:space="preserve">. </w:t>
      </w:r>
      <w:r>
        <w:rPr>
          <w:rFonts w:ascii="Verdana" w:hAnsi="Verdana" w:cs="Arial"/>
          <w:sz w:val="20"/>
          <w:lang w:val="da-DK"/>
        </w:rPr>
        <w:t>D</w:t>
      </w:r>
      <w:r w:rsidR="00BA7351">
        <w:rPr>
          <w:rFonts w:ascii="Verdana" w:hAnsi="Verdana" w:cs="Arial"/>
          <w:sz w:val="20"/>
          <w:lang w:val="da-DK"/>
        </w:rPr>
        <w:t>a d</w:t>
      </w:r>
      <w:r>
        <w:rPr>
          <w:rFonts w:ascii="Verdana" w:hAnsi="Verdana" w:cs="Arial"/>
          <w:sz w:val="20"/>
          <w:lang w:val="da-DK"/>
        </w:rPr>
        <w:t xml:space="preserve">isse forbehold </w:t>
      </w:r>
      <w:r w:rsidR="00BA7351">
        <w:rPr>
          <w:rFonts w:ascii="Verdana" w:hAnsi="Verdana" w:cs="Arial"/>
          <w:sz w:val="20"/>
          <w:lang w:val="da-DK"/>
        </w:rPr>
        <w:t>under alle omstændigheder ikke tjente noget formål</w:t>
      </w:r>
      <w:r w:rsidR="008B63DA">
        <w:rPr>
          <w:rFonts w:ascii="Verdana" w:hAnsi="Verdana" w:cs="Arial"/>
          <w:sz w:val="20"/>
          <w:lang w:val="da-DK"/>
        </w:rPr>
        <w:t xml:space="preserve">, er de blevet fjernet </w:t>
      </w:r>
      <w:r>
        <w:rPr>
          <w:rFonts w:ascii="Verdana" w:hAnsi="Verdana" w:cs="Arial"/>
          <w:sz w:val="20"/>
          <w:lang w:val="da-DK"/>
        </w:rPr>
        <w:t>af Telenor og TDC.</w:t>
      </w:r>
    </w:p>
    <w:p w:rsidR="002B412C" w:rsidRDefault="002B412C" w:rsidP="00B904A0">
      <w:pPr>
        <w:rPr>
          <w:rFonts w:ascii="Verdana" w:hAnsi="Verdana" w:cs="Arial"/>
          <w:sz w:val="20"/>
          <w:lang w:val="da-DK"/>
        </w:rPr>
      </w:pPr>
      <w:r>
        <w:rPr>
          <w:rFonts w:ascii="Verdana" w:hAnsi="Verdana" w:cs="Arial"/>
          <w:sz w:val="20"/>
          <w:lang w:val="da-DK"/>
        </w:rPr>
        <w:t xml:space="preserve"> </w:t>
      </w:r>
    </w:p>
    <w:p w:rsidR="002B412C" w:rsidRPr="004D5ED4" w:rsidRDefault="00F50EF1" w:rsidP="004D5ED4">
      <w:pPr>
        <w:rPr>
          <w:rFonts w:ascii="Verdana" w:hAnsi="Verdana" w:cs="Arial"/>
          <w:sz w:val="20"/>
          <w:lang w:val="da-DK"/>
        </w:rPr>
      </w:pPr>
      <w:r>
        <w:rPr>
          <w:rFonts w:ascii="Verdana" w:hAnsi="Verdana"/>
          <w:b/>
          <w:sz w:val="20"/>
          <w:lang w:val="da-DK"/>
        </w:rPr>
        <w:t>4</w:t>
      </w:r>
      <w:r w:rsidR="002B412C" w:rsidRPr="006C68CE">
        <w:rPr>
          <w:rFonts w:ascii="Verdana" w:hAnsi="Verdana"/>
          <w:b/>
          <w:sz w:val="20"/>
          <w:lang w:val="da-DK"/>
        </w:rPr>
        <w:t xml:space="preserve">: </w:t>
      </w:r>
      <w:r w:rsidR="002B412C">
        <w:rPr>
          <w:rFonts w:ascii="Verdana" w:hAnsi="Verdana"/>
          <w:b/>
          <w:sz w:val="20"/>
          <w:lang w:val="da-DK"/>
        </w:rPr>
        <w:t xml:space="preserve">EU/BEREC </w:t>
      </w:r>
      <w:r w:rsidR="002B412C" w:rsidRPr="004D5ED4">
        <w:rPr>
          <w:rFonts w:ascii="Verdana" w:hAnsi="Verdana" w:cs="Arial"/>
          <w:sz w:val="20"/>
          <w:lang w:val="da-DK"/>
        </w:rPr>
        <w:t xml:space="preserve"> </w:t>
      </w:r>
    </w:p>
    <w:p w:rsidR="002B412C" w:rsidRPr="00AD6CDC" w:rsidRDefault="00AA61D8" w:rsidP="00AD6CDC">
      <w:pPr>
        <w:rPr>
          <w:rFonts w:ascii="Verdana" w:hAnsi="Verdana"/>
          <w:sz w:val="20"/>
          <w:lang w:val="da-DK"/>
        </w:rPr>
      </w:pPr>
      <w:r>
        <w:rPr>
          <w:rFonts w:ascii="Verdana" w:hAnsi="Verdana"/>
          <w:sz w:val="20"/>
          <w:lang w:val="da-DK"/>
        </w:rPr>
        <w:t xml:space="preserve">Erhvervsstyrelsen </w:t>
      </w:r>
      <w:r w:rsidR="002B412C">
        <w:rPr>
          <w:rFonts w:ascii="Verdana" w:hAnsi="Verdana"/>
          <w:sz w:val="20"/>
          <w:lang w:val="da-DK"/>
        </w:rPr>
        <w:t xml:space="preserve">har </w:t>
      </w:r>
      <w:r>
        <w:rPr>
          <w:rFonts w:ascii="Verdana" w:hAnsi="Verdana"/>
          <w:sz w:val="20"/>
          <w:lang w:val="da-DK"/>
        </w:rPr>
        <w:t xml:space="preserve">løbende </w:t>
      </w:r>
      <w:r w:rsidR="002B412C">
        <w:rPr>
          <w:rFonts w:ascii="Verdana" w:hAnsi="Verdana"/>
          <w:sz w:val="20"/>
          <w:lang w:val="da-DK"/>
        </w:rPr>
        <w:t xml:space="preserve">rapporteret om arbejdet med netneutralitet i BEREC vedr. transparens, QoS og konkurrencemæssige forhold.  </w:t>
      </w:r>
    </w:p>
    <w:sectPr w:rsidR="002B412C" w:rsidRPr="00AD6CDC" w:rsidSect="00ED4EE3">
      <w:pgSz w:w="11906" w:h="16838"/>
      <w:pgMar w:top="1134" w:right="1800" w:bottom="993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43188"/>
    <w:multiLevelType w:val="hybridMultilevel"/>
    <w:tmpl w:val="06F67E1C"/>
    <w:lvl w:ilvl="0" w:tplc="D1D209A2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DB2CE1"/>
    <w:multiLevelType w:val="hybridMultilevel"/>
    <w:tmpl w:val="E95CEB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4B784E"/>
    <w:multiLevelType w:val="hybridMultilevel"/>
    <w:tmpl w:val="28968AB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1F5CB5"/>
    <w:multiLevelType w:val="hybridMultilevel"/>
    <w:tmpl w:val="90A80D4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4173B9"/>
    <w:multiLevelType w:val="hybridMultilevel"/>
    <w:tmpl w:val="A9246428"/>
    <w:lvl w:ilvl="0" w:tplc="0406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780810F1"/>
    <w:multiLevelType w:val="hybridMultilevel"/>
    <w:tmpl w:val="7D50D5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C0"/>
    <w:rsid w:val="00002356"/>
    <w:rsid w:val="000064A1"/>
    <w:rsid w:val="00007BE3"/>
    <w:rsid w:val="00010B25"/>
    <w:rsid w:val="00027FE7"/>
    <w:rsid w:val="00033A90"/>
    <w:rsid w:val="000417D8"/>
    <w:rsid w:val="00045DEA"/>
    <w:rsid w:val="00047E9A"/>
    <w:rsid w:val="00051C70"/>
    <w:rsid w:val="000561D4"/>
    <w:rsid w:val="000722E9"/>
    <w:rsid w:val="000825FC"/>
    <w:rsid w:val="000A0752"/>
    <w:rsid w:val="000A2155"/>
    <w:rsid w:val="000B2326"/>
    <w:rsid w:val="000B3FF2"/>
    <w:rsid w:val="000B7B67"/>
    <w:rsid w:val="000C0533"/>
    <w:rsid w:val="000C240A"/>
    <w:rsid w:val="000D0375"/>
    <w:rsid w:val="000D1D7F"/>
    <w:rsid w:val="000D2568"/>
    <w:rsid w:val="000D3575"/>
    <w:rsid w:val="000E4DAB"/>
    <w:rsid w:val="000F0C9B"/>
    <w:rsid w:val="001133BE"/>
    <w:rsid w:val="00127B4C"/>
    <w:rsid w:val="00130810"/>
    <w:rsid w:val="00135253"/>
    <w:rsid w:val="001401A1"/>
    <w:rsid w:val="0014066A"/>
    <w:rsid w:val="00142797"/>
    <w:rsid w:val="0016081C"/>
    <w:rsid w:val="0016274A"/>
    <w:rsid w:val="00166B4C"/>
    <w:rsid w:val="00173FA6"/>
    <w:rsid w:val="00186F06"/>
    <w:rsid w:val="001870B0"/>
    <w:rsid w:val="00191EE1"/>
    <w:rsid w:val="00194770"/>
    <w:rsid w:val="001977D2"/>
    <w:rsid w:val="001A2DEA"/>
    <w:rsid w:val="001B2C65"/>
    <w:rsid w:val="001B445F"/>
    <w:rsid w:val="001C2CD2"/>
    <w:rsid w:val="001C3DB6"/>
    <w:rsid w:val="001C7B20"/>
    <w:rsid w:val="001D5ED5"/>
    <w:rsid w:val="001D6A69"/>
    <w:rsid w:val="001E08EF"/>
    <w:rsid w:val="001E32CE"/>
    <w:rsid w:val="001E42AD"/>
    <w:rsid w:val="001E668B"/>
    <w:rsid w:val="001F3B30"/>
    <w:rsid w:val="002101D1"/>
    <w:rsid w:val="00211AE8"/>
    <w:rsid w:val="00216208"/>
    <w:rsid w:val="002165BD"/>
    <w:rsid w:val="00225E75"/>
    <w:rsid w:val="00241022"/>
    <w:rsid w:val="002455E9"/>
    <w:rsid w:val="00247E51"/>
    <w:rsid w:val="002558DC"/>
    <w:rsid w:val="00267B4B"/>
    <w:rsid w:val="00267CBD"/>
    <w:rsid w:val="00271FAF"/>
    <w:rsid w:val="002725A6"/>
    <w:rsid w:val="0027609F"/>
    <w:rsid w:val="00280D92"/>
    <w:rsid w:val="002818D0"/>
    <w:rsid w:val="0029487B"/>
    <w:rsid w:val="002976B5"/>
    <w:rsid w:val="002A5703"/>
    <w:rsid w:val="002B1330"/>
    <w:rsid w:val="002B412C"/>
    <w:rsid w:val="002C10F2"/>
    <w:rsid w:val="0032506F"/>
    <w:rsid w:val="003270C4"/>
    <w:rsid w:val="0033359D"/>
    <w:rsid w:val="00334799"/>
    <w:rsid w:val="0033703C"/>
    <w:rsid w:val="00343A20"/>
    <w:rsid w:val="00343C20"/>
    <w:rsid w:val="00352BF8"/>
    <w:rsid w:val="0035379C"/>
    <w:rsid w:val="0036641C"/>
    <w:rsid w:val="00370FB7"/>
    <w:rsid w:val="00383B32"/>
    <w:rsid w:val="003A02EC"/>
    <w:rsid w:val="003A0CC6"/>
    <w:rsid w:val="003B74E1"/>
    <w:rsid w:val="003C78DF"/>
    <w:rsid w:val="003D2AE5"/>
    <w:rsid w:val="003E040C"/>
    <w:rsid w:val="003E0449"/>
    <w:rsid w:val="003E2215"/>
    <w:rsid w:val="003E3E30"/>
    <w:rsid w:val="003E47F7"/>
    <w:rsid w:val="003E6A4F"/>
    <w:rsid w:val="00413D4E"/>
    <w:rsid w:val="00420E66"/>
    <w:rsid w:val="004249FB"/>
    <w:rsid w:val="00426202"/>
    <w:rsid w:val="00426588"/>
    <w:rsid w:val="00443216"/>
    <w:rsid w:val="00444816"/>
    <w:rsid w:val="00450B82"/>
    <w:rsid w:val="00451D29"/>
    <w:rsid w:val="00454741"/>
    <w:rsid w:val="00464806"/>
    <w:rsid w:val="0046496E"/>
    <w:rsid w:val="00475D52"/>
    <w:rsid w:val="0048088E"/>
    <w:rsid w:val="00492AD3"/>
    <w:rsid w:val="00497D09"/>
    <w:rsid w:val="004A2856"/>
    <w:rsid w:val="004A722F"/>
    <w:rsid w:val="004B063A"/>
    <w:rsid w:val="004C29A0"/>
    <w:rsid w:val="004C3FEE"/>
    <w:rsid w:val="004C5185"/>
    <w:rsid w:val="004D0DEA"/>
    <w:rsid w:val="004D1511"/>
    <w:rsid w:val="004D5ED4"/>
    <w:rsid w:val="004E5A29"/>
    <w:rsid w:val="004F3BEC"/>
    <w:rsid w:val="004F71B7"/>
    <w:rsid w:val="00501354"/>
    <w:rsid w:val="0050373D"/>
    <w:rsid w:val="00506F65"/>
    <w:rsid w:val="00511D6E"/>
    <w:rsid w:val="00515032"/>
    <w:rsid w:val="0051575B"/>
    <w:rsid w:val="00516D7E"/>
    <w:rsid w:val="005217A7"/>
    <w:rsid w:val="00522D30"/>
    <w:rsid w:val="0055182D"/>
    <w:rsid w:val="0056608D"/>
    <w:rsid w:val="0057107A"/>
    <w:rsid w:val="00577981"/>
    <w:rsid w:val="00580AF3"/>
    <w:rsid w:val="0059075E"/>
    <w:rsid w:val="0059271C"/>
    <w:rsid w:val="005959DA"/>
    <w:rsid w:val="005A22EE"/>
    <w:rsid w:val="005B6383"/>
    <w:rsid w:val="005B6E40"/>
    <w:rsid w:val="005C0BAB"/>
    <w:rsid w:val="005C6312"/>
    <w:rsid w:val="005D5298"/>
    <w:rsid w:val="005E0BFF"/>
    <w:rsid w:val="005E27F8"/>
    <w:rsid w:val="005F579C"/>
    <w:rsid w:val="005F62B5"/>
    <w:rsid w:val="006162E0"/>
    <w:rsid w:val="006179A5"/>
    <w:rsid w:val="00617A19"/>
    <w:rsid w:val="00620438"/>
    <w:rsid w:val="0062272C"/>
    <w:rsid w:val="00624C7F"/>
    <w:rsid w:val="00633D40"/>
    <w:rsid w:val="00635FF4"/>
    <w:rsid w:val="00646383"/>
    <w:rsid w:val="006503AE"/>
    <w:rsid w:val="00653B3D"/>
    <w:rsid w:val="006576E2"/>
    <w:rsid w:val="00657BBF"/>
    <w:rsid w:val="006618CB"/>
    <w:rsid w:val="00663D02"/>
    <w:rsid w:val="0067250B"/>
    <w:rsid w:val="006910A1"/>
    <w:rsid w:val="00693F80"/>
    <w:rsid w:val="006B39CC"/>
    <w:rsid w:val="006B464F"/>
    <w:rsid w:val="006C1329"/>
    <w:rsid w:val="006C565E"/>
    <w:rsid w:val="006C5E2A"/>
    <w:rsid w:val="006C63C1"/>
    <w:rsid w:val="006C68CE"/>
    <w:rsid w:val="006D01BB"/>
    <w:rsid w:val="006D392E"/>
    <w:rsid w:val="006D6504"/>
    <w:rsid w:val="006E0BE0"/>
    <w:rsid w:val="006E494E"/>
    <w:rsid w:val="006E4A89"/>
    <w:rsid w:val="006E6A14"/>
    <w:rsid w:val="006E77CD"/>
    <w:rsid w:val="00705CE1"/>
    <w:rsid w:val="007215D6"/>
    <w:rsid w:val="00724687"/>
    <w:rsid w:val="00731030"/>
    <w:rsid w:val="00735054"/>
    <w:rsid w:val="007417FD"/>
    <w:rsid w:val="00741A95"/>
    <w:rsid w:val="00744C9B"/>
    <w:rsid w:val="00747152"/>
    <w:rsid w:val="00751D5F"/>
    <w:rsid w:val="00762FDA"/>
    <w:rsid w:val="0076726C"/>
    <w:rsid w:val="007761D9"/>
    <w:rsid w:val="00783DF2"/>
    <w:rsid w:val="007869DE"/>
    <w:rsid w:val="0079142B"/>
    <w:rsid w:val="00792827"/>
    <w:rsid w:val="007A2A04"/>
    <w:rsid w:val="007C2282"/>
    <w:rsid w:val="007D6F19"/>
    <w:rsid w:val="007E5999"/>
    <w:rsid w:val="007F0143"/>
    <w:rsid w:val="007F29AF"/>
    <w:rsid w:val="007F378F"/>
    <w:rsid w:val="00800B99"/>
    <w:rsid w:val="00800C7A"/>
    <w:rsid w:val="00810515"/>
    <w:rsid w:val="00810AA5"/>
    <w:rsid w:val="008163B5"/>
    <w:rsid w:val="00834102"/>
    <w:rsid w:val="008342E2"/>
    <w:rsid w:val="00834B37"/>
    <w:rsid w:val="00843ADF"/>
    <w:rsid w:val="00847985"/>
    <w:rsid w:val="0085020B"/>
    <w:rsid w:val="008525E4"/>
    <w:rsid w:val="008569DD"/>
    <w:rsid w:val="00864C67"/>
    <w:rsid w:val="008716C2"/>
    <w:rsid w:val="0087574B"/>
    <w:rsid w:val="00876856"/>
    <w:rsid w:val="00877BC2"/>
    <w:rsid w:val="008811F2"/>
    <w:rsid w:val="00881ECE"/>
    <w:rsid w:val="008842D7"/>
    <w:rsid w:val="008B2DA9"/>
    <w:rsid w:val="008B63DA"/>
    <w:rsid w:val="008B7090"/>
    <w:rsid w:val="008C0022"/>
    <w:rsid w:val="008C45F8"/>
    <w:rsid w:val="008C54D2"/>
    <w:rsid w:val="008C55FF"/>
    <w:rsid w:val="008C5E87"/>
    <w:rsid w:val="008C6611"/>
    <w:rsid w:val="008E5ADD"/>
    <w:rsid w:val="00900733"/>
    <w:rsid w:val="009026CC"/>
    <w:rsid w:val="00904F60"/>
    <w:rsid w:val="009124CB"/>
    <w:rsid w:val="00917302"/>
    <w:rsid w:val="00930B1A"/>
    <w:rsid w:val="00935B1F"/>
    <w:rsid w:val="00935DA7"/>
    <w:rsid w:val="0093695F"/>
    <w:rsid w:val="009461FC"/>
    <w:rsid w:val="009508EB"/>
    <w:rsid w:val="009521B7"/>
    <w:rsid w:val="00956427"/>
    <w:rsid w:val="00962E75"/>
    <w:rsid w:val="00963392"/>
    <w:rsid w:val="009670F7"/>
    <w:rsid w:val="009808A6"/>
    <w:rsid w:val="00981106"/>
    <w:rsid w:val="009822EA"/>
    <w:rsid w:val="00985B12"/>
    <w:rsid w:val="009A3992"/>
    <w:rsid w:val="009B08E7"/>
    <w:rsid w:val="009B354A"/>
    <w:rsid w:val="009B5363"/>
    <w:rsid w:val="009C5F5D"/>
    <w:rsid w:val="009E6A84"/>
    <w:rsid w:val="009F0D68"/>
    <w:rsid w:val="00A0189F"/>
    <w:rsid w:val="00A019CC"/>
    <w:rsid w:val="00A05ECC"/>
    <w:rsid w:val="00A24710"/>
    <w:rsid w:val="00A35229"/>
    <w:rsid w:val="00A3541A"/>
    <w:rsid w:val="00A42D1C"/>
    <w:rsid w:val="00A552E4"/>
    <w:rsid w:val="00A61F08"/>
    <w:rsid w:val="00A62D5A"/>
    <w:rsid w:val="00A64464"/>
    <w:rsid w:val="00A7077E"/>
    <w:rsid w:val="00A75591"/>
    <w:rsid w:val="00A817CC"/>
    <w:rsid w:val="00A92205"/>
    <w:rsid w:val="00A92A36"/>
    <w:rsid w:val="00A92C92"/>
    <w:rsid w:val="00A96973"/>
    <w:rsid w:val="00A96EF5"/>
    <w:rsid w:val="00AA0B94"/>
    <w:rsid w:val="00AA0FAD"/>
    <w:rsid w:val="00AA5F42"/>
    <w:rsid w:val="00AA61D8"/>
    <w:rsid w:val="00AA7278"/>
    <w:rsid w:val="00AB0DEE"/>
    <w:rsid w:val="00AC69C5"/>
    <w:rsid w:val="00AD6CDC"/>
    <w:rsid w:val="00AE179B"/>
    <w:rsid w:val="00AE4A0A"/>
    <w:rsid w:val="00AE5601"/>
    <w:rsid w:val="00AF1786"/>
    <w:rsid w:val="00AF4832"/>
    <w:rsid w:val="00AF51D4"/>
    <w:rsid w:val="00AF654A"/>
    <w:rsid w:val="00B0033B"/>
    <w:rsid w:val="00B06A6E"/>
    <w:rsid w:val="00B141AE"/>
    <w:rsid w:val="00B20135"/>
    <w:rsid w:val="00B2159E"/>
    <w:rsid w:val="00B24A7A"/>
    <w:rsid w:val="00B3321C"/>
    <w:rsid w:val="00B35E33"/>
    <w:rsid w:val="00B500B2"/>
    <w:rsid w:val="00B543FB"/>
    <w:rsid w:val="00B545B6"/>
    <w:rsid w:val="00B67381"/>
    <w:rsid w:val="00B74488"/>
    <w:rsid w:val="00B7570C"/>
    <w:rsid w:val="00B76E2E"/>
    <w:rsid w:val="00B85968"/>
    <w:rsid w:val="00B904A0"/>
    <w:rsid w:val="00BA1512"/>
    <w:rsid w:val="00BA29CE"/>
    <w:rsid w:val="00BA5541"/>
    <w:rsid w:val="00BA7351"/>
    <w:rsid w:val="00BB75FB"/>
    <w:rsid w:val="00BC19B4"/>
    <w:rsid w:val="00BD1ECC"/>
    <w:rsid w:val="00BE28D6"/>
    <w:rsid w:val="00BE77C6"/>
    <w:rsid w:val="00BF4A36"/>
    <w:rsid w:val="00BF4A42"/>
    <w:rsid w:val="00C155DD"/>
    <w:rsid w:val="00C21B91"/>
    <w:rsid w:val="00C231A1"/>
    <w:rsid w:val="00C27CF0"/>
    <w:rsid w:val="00C4769C"/>
    <w:rsid w:val="00C50C78"/>
    <w:rsid w:val="00C56802"/>
    <w:rsid w:val="00C6780C"/>
    <w:rsid w:val="00C808BE"/>
    <w:rsid w:val="00C80D8E"/>
    <w:rsid w:val="00C81760"/>
    <w:rsid w:val="00C87F89"/>
    <w:rsid w:val="00C9498E"/>
    <w:rsid w:val="00CA4454"/>
    <w:rsid w:val="00CA4B41"/>
    <w:rsid w:val="00CB22F3"/>
    <w:rsid w:val="00CB3987"/>
    <w:rsid w:val="00CC1BD0"/>
    <w:rsid w:val="00CC2636"/>
    <w:rsid w:val="00CC7327"/>
    <w:rsid w:val="00CD04C4"/>
    <w:rsid w:val="00CD0B5A"/>
    <w:rsid w:val="00CD7D75"/>
    <w:rsid w:val="00CE4D1B"/>
    <w:rsid w:val="00CF54A6"/>
    <w:rsid w:val="00D01283"/>
    <w:rsid w:val="00D1479E"/>
    <w:rsid w:val="00D15D0D"/>
    <w:rsid w:val="00D22B70"/>
    <w:rsid w:val="00D24211"/>
    <w:rsid w:val="00D31D8A"/>
    <w:rsid w:val="00D329F8"/>
    <w:rsid w:val="00D36EBC"/>
    <w:rsid w:val="00D40DB1"/>
    <w:rsid w:val="00D5151B"/>
    <w:rsid w:val="00D52BD3"/>
    <w:rsid w:val="00D5369A"/>
    <w:rsid w:val="00D55313"/>
    <w:rsid w:val="00D70049"/>
    <w:rsid w:val="00D861B5"/>
    <w:rsid w:val="00D914DA"/>
    <w:rsid w:val="00D9178F"/>
    <w:rsid w:val="00D932FE"/>
    <w:rsid w:val="00D9532E"/>
    <w:rsid w:val="00D95B66"/>
    <w:rsid w:val="00DB030A"/>
    <w:rsid w:val="00DB37CB"/>
    <w:rsid w:val="00DD5ACD"/>
    <w:rsid w:val="00DE005D"/>
    <w:rsid w:val="00DE1B4D"/>
    <w:rsid w:val="00DE71C7"/>
    <w:rsid w:val="00DF2CAF"/>
    <w:rsid w:val="00DF666F"/>
    <w:rsid w:val="00E01BC2"/>
    <w:rsid w:val="00E06172"/>
    <w:rsid w:val="00E06608"/>
    <w:rsid w:val="00E06DBA"/>
    <w:rsid w:val="00E165D0"/>
    <w:rsid w:val="00E37885"/>
    <w:rsid w:val="00E52E8C"/>
    <w:rsid w:val="00E56BAF"/>
    <w:rsid w:val="00E64BBF"/>
    <w:rsid w:val="00E800CA"/>
    <w:rsid w:val="00E91D7E"/>
    <w:rsid w:val="00E960A3"/>
    <w:rsid w:val="00EB691B"/>
    <w:rsid w:val="00ED436B"/>
    <w:rsid w:val="00ED4EE3"/>
    <w:rsid w:val="00ED6135"/>
    <w:rsid w:val="00EE3D50"/>
    <w:rsid w:val="00EE7623"/>
    <w:rsid w:val="00EE77B3"/>
    <w:rsid w:val="00EF13BD"/>
    <w:rsid w:val="00EF2D83"/>
    <w:rsid w:val="00EF3B15"/>
    <w:rsid w:val="00EF3D6E"/>
    <w:rsid w:val="00EF3E4C"/>
    <w:rsid w:val="00F03DFE"/>
    <w:rsid w:val="00F05A0A"/>
    <w:rsid w:val="00F10A54"/>
    <w:rsid w:val="00F13CD1"/>
    <w:rsid w:val="00F16748"/>
    <w:rsid w:val="00F25EE7"/>
    <w:rsid w:val="00F267D8"/>
    <w:rsid w:val="00F343E5"/>
    <w:rsid w:val="00F3480B"/>
    <w:rsid w:val="00F34B5E"/>
    <w:rsid w:val="00F41907"/>
    <w:rsid w:val="00F433DC"/>
    <w:rsid w:val="00F50EF1"/>
    <w:rsid w:val="00F5113C"/>
    <w:rsid w:val="00F64AC0"/>
    <w:rsid w:val="00F8317F"/>
    <w:rsid w:val="00F90FD7"/>
    <w:rsid w:val="00F9355A"/>
    <w:rsid w:val="00F93C77"/>
    <w:rsid w:val="00F94467"/>
    <w:rsid w:val="00F95A00"/>
    <w:rsid w:val="00F964D7"/>
    <w:rsid w:val="00F96605"/>
    <w:rsid w:val="00FA210F"/>
    <w:rsid w:val="00FA260F"/>
    <w:rsid w:val="00FA336E"/>
    <w:rsid w:val="00FA6895"/>
    <w:rsid w:val="00FA6B01"/>
    <w:rsid w:val="00FC0C20"/>
    <w:rsid w:val="00FC165F"/>
    <w:rsid w:val="00FC169F"/>
    <w:rsid w:val="00FD060B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7F54BFB-E1C0-4A4C-8AF5-F63877E0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202"/>
    <w:rPr>
      <w:szCs w:val="20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2">
    <w:name w:val="Body Text 2"/>
    <w:basedOn w:val="Normal"/>
    <w:link w:val="Brdtekst2Tegn"/>
    <w:uiPriority w:val="99"/>
    <w:rsid w:val="00657BBF"/>
    <w:pPr>
      <w:tabs>
        <w:tab w:val="left" w:pos="1134"/>
        <w:tab w:val="left" w:pos="5103"/>
      </w:tabs>
    </w:pPr>
    <w:rPr>
      <w:b/>
      <w:sz w:val="24"/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locked/>
    <w:rPr>
      <w:rFonts w:cs="Times New Roman"/>
      <w:sz w:val="20"/>
      <w:szCs w:val="20"/>
      <w:lang w:val="en-GB"/>
    </w:rPr>
  </w:style>
  <w:style w:type="paragraph" w:styleId="Brdtekstindrykning">
    <w:name w:val="Body Text Indent"/>
    <w:basedOn w:val="Normal"/>
    <w:link w:val="BrdtekstindrykningTegn"/>
    <w:uiPriority w:val="99"/>
    <w:rsid w:val="00657BBF"/>
    <w:pPr>
      <w:tabs>
        <w:tab w:val="left" w:pos="426"/>
      </w:tabs>
      <w:ind w:left="426"/>
    </w:pPr>
    <w:rPr>
      <w:sz w:val="24"/>
      <w:lang w:val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locked/>
    <w:rPr>
      <w:rFonts w:cs="Times New Roman"/>
      <w:sz w:val="20"/>
      <w:szCs w:val="20"/>
      <w:lang w:val="en-GB"/>
    </w:rPr>
  </w:style>
  <w:style w:type="paragraph" w:styleId="Titel">
    <w:name w:val="Title"/>
    <w:basedOn w:val="Normal"/>
    <w:link w:val="TitelTegn"/>
    <w:uiPriority w:val="99"/>
    <w:qFormat/>
    <w:rsid w:val="00657BBF"/>
    <w:pPr>
      <w:jc w:val="center"/>
    </w:pPr>
    <w:rPr>
      <w:b/>
      <w:sz w:val="24"/>
      <w:lang w:val="da-DK"/>
    </w:rPr>
  </w:style>
  <w:style w:type="character" w:customStyle="1" w:styleId="TitelTegn">
    <w:name w:val="Titel Tegn"/>
    <w:basedOn w:val="Standardskrifttypeiafsnit"/>
    <w:link w:val="Titel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Brdtekst">
    <w:name w:val="Body Text"/>
    <w:basedOn w:val="Normal"/>
    <w:link w:val="BrdtekstTegn"/>
    <w:uiPriority w:val="99"/>
    <w:rsid w:val="00657BBF"/>
    <w:pPr>
      <w:tabs>
        <w:tab w:val="left" w:pos="426"/>
      </w:tabs>
    </w:pPr>
    <w:rPr>
      <w:sz w:val="24"/>
      <w:lang w:val="da-DK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0"/>
      <w:szCs w:val="20"/>
      <w:lang w:val="en-GB"/>
    </w:rPr>
  </w:style>
  <w:style w:type="character" w:styleId="Hyperlink">
    <w:name w:val="Hyperlink"/>
    <w:basedOn w:val="Standardskrifttypeiafsnit"/>
    <w:uiPriority w:val="99"/>
    <w:rsid w:val="00657BBF"/>
    <w:rPr>
      <w:rFonts w:cs="Times New Roman"/>
      <w:color w:val="0000FF"/>
      <w:u w:val="single"/>
    </w:rPr>
  </w:style>
  <w:style w:type="character" w:styleId="BesgtLink">
    <w:name w:val="FollowedHyperlink"/>
    <w:basedOn w:val="Standardskrifttypeiafsnit"/>
    <w:uiPriority w:val="99"/>
    <w:rsid w:val="00657BBF"/>
    <w:rPr>
      <w:rFonts w:cs="Times New Roman"/>
      <w:color w:val="800080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A2DE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cs="Times New Roman"/>
      <w:sz w:val="2"/>
      <w:lang w:val="en-GB"/>
    </w:rPr>
  </w:style>
  <w:style w:type="paragraph" w:styleId="Listeafsnit">
    <w:name w:val="List Paragraph"/>
    <w:basedOn w:val="Normal"/>
    <w:uiPriority w:val="99"/>
    <w:qFormat/>
    <w:rsid w:val="00881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4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Forslag til dagsorden for møde i samtrafikgruppen</vt:lpstr>
    </vt:vector>
  </TitlesOfParts>
  <Company>sonofon</Company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Forslag til dagsorden for møde i samtrafikgruppen</dc:title>
  <dc:creator>LAB på PC2790</dc:creator>
  <cp:lastModifiedBy>Jakob Willer</cp:lastModifiedBy>
  <cp:revision>2</cp:revision>
  <cp:lastPrinted>2011-09-21T08:11:00Z</cp:lastPrinted>
  <dcterms:created xsi:type="dcterms:W3CDTF">2014-01-31T10:42:00Z</dcterms:created>
  <dcterms:modified xsi:type="dcterms:W3CDTF">2014-01-31T10:42:00Z</dcterms:modified>
</cp:coreProperties>
</file>