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0D" w:rsidRPr="003D5F0D" w:rsidRDefault="003D5F0D" w:rsidP="003D5F0D">
      <w:pPr>
        <w:spacing w:before="100" w:beforeAutospacing="1" w:after="100" w:afterAutospacing="1" w:line="240" w:lineRule="auto"/>
        <w:jc w:val="both"/>
        <w:rPr>
          <w:rFonts w:ascii="Arial" w:eastAsia="Times New Roman" w:hAnsi="Arial" w:cs="Arial"/>
          <w:sz w:val="24"/>
          <w:szCs w:val="24"/>
          <w:lang w:eastAsia="da-DK"/>
        </w:rPr>
      </w:pPr>
      <w:bookmarkStart w:id="0" w:name="13dca999ca522817_13d21495e8d3a6a0_OLE_LI"/>
      <w:bookmarkEnd w:id="0"/>
      <w:r>
        <w:rPr>
          <w:rFonts w:ascii="Arial" w:eastAsia="Times New Roman" w:hAnsi="Arial" w:cs="Arial"/>
          <w:noProof/>
          <w:sz w:val="24"/>
          <w:szCs w:val="24"/>
          <w:lang w:eastAsia="da-DK"/>
        </w:rPr>
        <w:drawing>
          <wp:inline distT="0" distB="0" distL="0" distR="0">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4A7ABA" w:rsidRDefault="004A7ABA" w:rsidP="003D5F0D">
      <w:pPr>
        <w:spacing w:before="100" w:beforeAutospacing="1" w:after="100" w:afterAutospacing="1" w:line="240" w:lineRule="auto"/>
        <w:jc w:val="both"/>
        <w:rPr>
          <w:rFonts w:ascii="Arial" w:eastAsia="Times New Roman" w:hAnsi="Arial" w:cs="Arial"/>
          <w:b/>
          <w:bCs/>
          <w:color w:val="333399"/>
          <w:sz w:val="28"/>
          <w:szCs w:val="28"/>
          <w:lang w:eastAsia="da-DK"/>
        </w:rPr>
      </w:pPr>
    </w:p>
    <w:p w:rsidR="003D5F0D" w:rsidRPr="003D5F0D" w:rsidRDefault="007E6BC2" w:rsidP="003D5F0D">
      <w:pPr>
        <w:spacing w:before="100" w:beforeAutospacing="1" w:after="100" w:afterAutospacing="1" w:line="240" w:lineRule="auto"/>
        <w:jc w:val="both"/>
        <w:rPr>
          <w:rFonts w:ascii="Arial" w:eastAsia="Times New Roman" w:hAnsi="Arial" w:cs="Arial"/>
          <w:sz w:val="24"/>
          <w:szCs w:val="24"/>
          <w:lang w:eastAsia="da-DK"/>
        </w:rPr>
      </w:pPr>
      <w:r>
        <w:rPr>
          <w:rFonts w:ascii="Arial" w:eastAsia="Times New Roman" w:hAnsi="Arial" w:cs="Arial"/>
          <w:b/>
          <w:bCs/>
          <w:color w:val="333399"/>
          <w:sz w:val="28"/>
          <w:szCs w:val="28"/>
          <w:lang w:eastAsia="da-DK"/>
        </w:rPr>
        <w:t xml:space="preserve">TI NYHEDSBREV – </w:t>
      </w:r>
      <w:r w:rsidR="005B5827">
        <w:rPr>
          <w:rFonts w:ascii="Arial" w:eastAsia="Times New Roman" w:hAnsi="Arial" w:cs="Arial"/>
          <w:b/>
          <w:bCs/>
          <w:color w:val="333399"/>
          <w:sz w:val="28"/>
          <w:szCs w:val="28"/>
          <w:lang w:eastAsia="da-DK"/>
        </w:rPr>
        <w:t>MARTS 2015</w:t>
      </w:r>
    </w:p>
    <w:p w:rsidR="00444381" w:rsidRDefault="0013396F" w:rsidP="00D024D1">
      <w:pPr>
        <w:pStyle w:val="NormalWeb"/>
        <w:rPr>
          <w:rFonts w:ascii="Verdana" w:hAnsi="Verdana"/>
          <w:bCs/>
          <w:color w:val="000000"/>
          <w:sz w:val="22"/>
          <w:szCs w:val="22"/>
        </w:rPr>
      </w:pPr>
      <w:r>
        <w:rPr>
          <w:rFonts w:ascii="Verdana" w:hAnsi="Verdana"/>
          <w:bCs/>
          <w:color w:val="000000"/>
          <w:sz w:val="22"/>
          <w:szCs w:val="22"/>
        </w:rPr>
        <w:br/>
      </w:r>
      <w:r w:rsidR="00444381">
        <w:rPr>
          <w:rFonts w:ascii="Verdana" w:hAnsi="Verdana"/>
          <w:b/>
          <w:bCs/>
          <w:color w:val="000000"/>
          <w:sz w:val="22"/>
          <w:szCs w:val="22"/>
        </w:rPr>
        <w:t>Samarbejde om bedre bredbånd og mobildækning</w:t>
      </w:r>
      <w:r w:rsidR="00444381">
        <w:rPr>
          <w:rFonts w:ascii="Verdana" w:hAnsi="Verdana"/>
          <w:b/>
          <w:bCs/>
          <w:color w:val="000000"/>
          <w:sz w:val="22"/>
          <w:szCs w:val="22"/>
        </w:rPr>
        <w:br/>
      </w:r>
      <w:r w:rsidR="00444381">
        <w:rPr>
          <w:rFonts w:ascii="Verdana" w:hAnsi="Verdana"/>
          <w:bCs/>
          <w:color w:val="000000"/>
          <w:sz w:val="22"/>
          <w:szCs w:val="22"/>
        </w:rPr>
        <w:t>Flere steder i kommuner</w:t>
      </w:r>
      <w:r w:rsidR="00D02720">
        <w:rPr>
          <w:rFonts w:ascii="Verdana" w:hAnsi="Verdana"/>
          <w:bCs/>
          <w:color w:val="000000"/>
          <w:sz w:val="22"/>
          <w:szCs w:val="22"/>
        </w:rPr>
        <w:t>ne</w:t>
      </w:r>
      <w:r w:rsidR="00444381">
        <w:rPr>
          <w:rFonts w:ascii="Verdana" w:hAnsi="Verdana"/>
          <w:bCs/>
          <w:color w:val="000000"/>
          <w:sz w:val="22"/>
          <w:szCs w:val="22"/>
        </w:rPr>
        <w:t xml:space="preserve"> og i regionerne oplever vi</w:t>
      </w:r>
      <w:r w:rsidR="00D02720">
        <w:rPr>
          <w:rFonts w:ascii="Verdana" w:hAnsi="Verdana"/>
          <w:bCs/>
          <w:color w:val="000000"/>
          <w:sz w:val="22"/>
          <w:szCs w:val="22"/>
        </w:rPr>
        <w:t xml:space="preserve"> en øget interesse i at samarbejde med telebranchen og søge veje til at fjerne barrierer og stimulere udbygningen af den digitale infrastruktur.</w:t>
      </w:r>
    </w:p>
    <w:p w:rsidR="00D02720" w:rsidRDefault="00D02720" w:rsidP="00D024D1">
      <w:pPr>
        <w:pStyle w:val="NormalWeb"/>
        <w:rPr>
          <w:rFonts w:ascii="Verdana" w:hAnsi="Verdana"/>
          <w:bCs/>
          <w:color w:val="000000"/>
          <w:sz w:val="22"/>
          <w:szCs w:val="22"/>
        </w:rPr>
      </w:pPr>
      <w:r>
        <w:rPr>
          <w:rFonts w:ascii="Verdana" w:hAnsi="Verdana"/>
          <w:bCs/>
          <w:color w:val="000000"/>
          <w:sz w:val="22"/>
          <w:szCs w:val="22"/>
        </w:rPr>
        <w:t>Senest har Teleindustrien oplevet, at kommunerne på Fyn arbejder for at reducere barrierer og fremme en konstruktiv dialog med teleselskaberne om mulighederne for at udbygge mobildækningen, og i Region Nordjylland er der taget hul på drøftelser om, hvordan regionen og kommunerne kan bane vejen for flere mobilmaster og sikre bedre bredbånd til borgere og erhvervsliv.</w:t>
      </w:r>
    </w:p>
    <w:p w:rsidR="00D02720" w:rsidRDefault="00D02720" w:rsidP="00D024D1">
      <w:pPr>
        <w:pStyle w:val="NormalWeb"/>
        <w:rPr>
          <w:rFonts w:ascii="Verdana" w:hAnsi="Verdana"/>
          <w:bCs/>
          <w:color w:val="000000"/>
          <w:sz w:val="22"/>
          <w:szCs w:val="22"/>
        </w:rPr>
      </w:pPr>
      <w:r>
        <w:rPr>
          <w:rFonts w:ascii="Verdana" w:hAnsi="Verdana"/>
          <w:bCs/>
          <w:color w:val="000000"/>
          <w:sz w:val="22"/>
          <w:szCs w:val="22"/>
        </w:rPr>
        <w:t>I Teleindustrien byder vi</w:t>
      </w:r>
      <w:r w:rsidR="000448C4">
        <w:rPr>
          <w:rFonts w:ascii="Verdana" w:hAnsi="Verdana"/>
          <w:bCs/>
          <w:color w:val="000000"/>
          <w:sz w:val="22"/>
          <w:szCs w:val="22"/>
        </w:rPr>
        <w:t xml:space="preserve"> initiativerne til </w:t>
      </w:r>
      <w:r>
        <w:rPr>
          <w:rFonts w:ascii="Verdana" w:hAnsi="Verdana"/>
          <w:bCs/>
          <w:color w:val="000000"/>
          <w:sz w:val="22"/>
          <w:szCs w:val="22"/>
        </w:rPr>
        <w:t xml:space="preserve">samarbejde velkommen. Ved </w:t>
      </w:r>
      <w:r w:rsidR="000448C4">
        <w:rPr>
          <w:rFonts w:ascii="Verdana" w:hAnsi="Verdana"/>
          <w:bCs/>
          <w:color w:val="000000"/>
          <w:sz w:val="22"/>
          <w:szCs w:val="22"/>
        </w:rPr>
        <w:t xml:space="preserve">konstruktivt </w:t>
      </w:r>
      <w:r>
        <w:rPr>
          <w:rFonts w:ascii="Verdana" w:hAnsi="Verdana"/>
          <w:bCs/>
          <w:color w:val="000000"/>
          <w:sz w:val="22"/>
          <w:szCs w:val="22"/>
        </w:rPr>
        <w:t>samarbejde når vi længere med infrastrukturen og baner vejen for, at endnu flere kan få glæde af de mange muligheder, som den digitale infrastruktur giver.</w:t>
      </w:r>
    </w:p>
    <w:p w:rsidR="00D02720" w:rsidRDefault="000448C4" w:rsidP="00D024D1">
      <w:pPr>
        <w:pStyle w:val="NormalWeb"/>
        <w:rPr>
          <w:rFonts w:ascii="Verdana" w:hAnsi="Verdana"/>
          <w:bCs/>
          <w:color w:val="000000"/>
          <w:sz w:val="22"/>
          <w:szCs w:val="22"/>
        </w:rPr>
      </w:pPr>
      <w:r>
        <w:rPr>
          <w:rFonts w:ascii="Verdana" w:hAnsi="Verdana"/>
          <w:bCs/>
          <w:color w:val="000000"/>
          <w:sz w:val="22"/>
          <w:szCs w:val="22"/>
        </w:rPr>
        <w:t xml:space="preserve">For kommunerne handler det blandt andet om at udarbejde mastepolitikker, fremme </w:t>
      </w:r>
      <w:proofErr w:type="spellStart"/>
      <w:r>
        <w:rPr>
          <w:rFonts w:ascii="Verdana" w:hAnsi="Verdana"/>
          <w:bCs/>
          <w:color w:val="000000"/>
          <w:sz w:val="22"/>
          <w:szCs w:val="22"/>
        </w:rPr>
        <w:t>samgravning</w:t>
      </w:r>
      <w:proofErr w:type="spellEnd"/>
      <w:r>
        <w:rPr>
          <w:rFonts w:ascii="Verdana" w:hAnsi="Verdana"/>
          <w:bCs/>
          <w:color w:val="000000"/>
          <w:sz w:val="22"/>
          <w:szCs w:val="22"/>
        </w:rPr>
        <w:t xml:space="preserve">, synliggøre den passive infrastruktur og rørføring, som kommunen og forsyningsselskaberne råder over, stille dækningskrav ved indkøb og </w:t>
      </w:r>
      <w:proofErr w:type="spellStart"/>
      <w:r>
        <w:rPr>
          <w:rFonts w:ascii="Verdana" w:hAnsi="Verdana"/>
          <w:bCs/>
          <w:color w:val="000000"/>
          <w:sz w:val="22"/>
          <w:szCs w:val="22"/>
        </w:rPr>
        <w:t>indtænke</w:t>
      </w:r>
      <w:proofErr w:type="spellEnd"/>
      <w:r>
        <w:rPr>
          <w:rFonts w:ascii="Verdana" w:hAnsi="Verdana"/>
          <w:bCs/>
          <w:color w:val="000000"/>
          <w:sz w:val="22"/>
          <w:szCs w:val="22"/>
        </w:rPr>
        <w:t xml:space="preserve"> den digitale infrastruktur i planarbejdet.</w:t>
      </w:r>
      <w:r w:rsidR="00D02720">
        <w:rPr>
          <w:rFonts w:ascii="Verdana" w:hAnsi="Verdana"/>
          <w:bCs/>
          <w:color w:val="000000"/>
          <w:sz w:val="22"/>
          <w:szCs w:val="22"/>
        </w:rPr>
        <w:t xml:space="preserve"> </w:t>
      </w:r>
      <w:r>
        <w:rPr>
          <w:rFonts w:ascii="Verdana" w:hAnsi="Verdana"/>
          <w:bCs/>
          <w:color w:val="000000"/>
          <w:sz w:val="22"/>
          <w:szCs w:val="22"/>
        </w:rPr>
        <w:t>For teleselskaberne handler det om at komme længere ud til kunderne med infrastrukturen og forbedre dækningen med de store investeringer, der hvert år foretages.</w:t>
      </w:r>
    </w:p>
    <w:p w:rsidR="000448C4" w:rsidRPr="00444381" w:rsidRDefault="000448C4" w:rsidP="00D024D1">
      <w:pPr>
        <w:pStyle w:val="NormalWeb"/>
        <w:rPr>
          <w:rFonts w:ascii="Verdana" w:hAnsi="Verdana"/>
          <w:bCs/>
          <w:color w:val="000000"/>
          <w:sz w:val="22"/>
          <w:szCs w:val="22"/>
        </w:rPr>
      </w:pPr>
      <w:r>
        <w:rPr>
          <w:rFonts w:ascii="Verdana" w:hAnsi="Verdana"/>
          <w:bCs/>
          <w:color w:val="000000"/>
          <w:sz w:val="22"/>
          <w:szCs w:val="22"/>
        </w:rPr>
        <w:t xml:space="preserve">Læs mere her: </w:t>
      </w:r>
      <w:hyperlink r:id="rId6" w:history="1">
        <w:r w:rsidRPr="00BB26BB">
          <w:rPr>
            <w:rStyle w:val="Hyperlink"/>
            <w:rFonts w:ascii="Verdana" w:hAnsi="Verdana"/>
            <w:bCs/>
            <w:sz w:val="22"/>
            <w:szCs w:val="22"/>
          </w:rPr>
          <w:t>http://www.business.dk/digital/kommuner-hoevler-knaster-for-at-faa-bedre-mobildaekning</w:t>
        </w:r>
      </w:hyperlink>
      <w:r>
        <w:rPr>
          <w:rFonts w:ascii="Verdana" w:hAnsi="Verdana"/>
          <w:bCs/>
          <w:color w:val="000000"/>
          <w:sz w:val="22"/>
          <w:szCs w:val="22"/>
        </w:rPr>
        <w:t xml:space="preserve"> </w:t>
      </w:r>
    </w:p>
    <w:p w:rsidR="00D024D1" w:rsidRPr="00D024D1" w:rsidRDefault="00444381" w:rsidP="00D024D1">
      <w:pPr>
        <w:pStyle w:val="NormalWeb"/>
        <w:rPr>
          <w:rFonts w:ascii="Verdana" w:hAnsi="Verdana"/>
          <w:bCs/>
          <w:color w:val="000000"/>
          <w:sz w:val="22"/>
          <w:szCs w:val="22"/>
        </w:rPr>
      </w:pPr>
      <w:hyperlink r:id="rId7" w:history="1">
        <w:r w:rsidRPr="00BB26BB">
          <w:rPr>
            <w:rStyle w:val="Hyperlink"/>
            <w:rFonts w:ascii="Verdana" w:hAnsi="Verdana"/>
            <w:b/>
            <w:bCs/>
            <w:sz w:val="22"/>
            <w:szCs w:val="22"/>
          </w:rPr>
          <w:t>www.tjekditnet.dk</w:t>
        </w:r>
      </w:hyperlink>
      <w:r>
        <w:rPr>
          <w:rFonts w:ascii="Verdana" w:hAnsi="Verdana"/>
          <w:b/>
          <w:bCs/>
          <w:color w:val="000000"/>
          <w:sz w:val="22"/>
          <w:szCs w:val="22"/>
        </w:rPr>
        <w:t xml:space="preserve"> </w:t>
      </w:r>
      <w:r w:rsidR="00D024D1" w:rsidRPr="00D024D1">
        <w:rPr>
          <w:rFonts w:ascii="Verdana" w:hAnsi="Verdana"/>
          <w:b/>
          <w:bCs/>
          <w:color w:val="000000"/>
          <w:sz w:val="22"/>
          <w:szCs w:val="22"/>
        </w:rPr>
        <w:br/>
      </w:r>
      <w:r w:rsidR="00D024D1" w:rsidRPr="00D024D1">
        <w:rPr>
          <w:rFonts w:ascii="Verdana" w:hAnsi="Verdana"/>
          <w:bCs/>
          <w:color w:val="000000"/>
          <w:sz w:val="22"/>
          <w:szCs w:val="22"/>
        </w:rPr>
        <w:t xml:space="preserve">Erhvervsstyrelsen har offentliggjort en ny hjemmeside, hvor forbrugerne gives adgang til information om adgangen til bredbåndsløsninger på adresseniveau – </w:t>
      </w:r>
      <w:hyperlink r:id="rId8" w:history="1">
        <w:r w:rsidR="00D024D1" w:rsidRPr="00BB26BB">
          <w:rPr>
            <w:rStyle w:val="Hyperlink"/>
            <w:rFonts w:ascii="Verdana" w:hAnsi="Verdana"/>
            <w:bCs/>
            <w:sz w:val="22"/>
            <w:szCs w:val="22"/>
          </w:rPr>
          <w:t>http://www.tjekditnet.dk</w:t>
        </w:r>
      </w:hyperlink>
      <w:r w:rsidR="00D024D1">
        <w:rPr>
          <w:rFonts w:ascii="Verdana" w:hAnsi="Verdana"/>
          <w:bCs/>
          <w:color w:val="000000"/>
          <w:sz w:val="22"/>
          <w:szCs w:val="22"/>
        </w:rPr>
        <w:t xml:space="preserve">  </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I Teleindustrien støtter vi det meget omfattende arbejde med at sikre gennemsigtighed for forbrugerne. Det er en vanskelig og ambitiøs opgave at indsamle så detaljerede oplysninger om de forskellige teknologier og operatørernes bredbåndsprodukter helt ned på enkelt-adresse-niveau.</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lastRenderedPageBreak/>
        <w:t>De enkelte fastnetteknologier er kendetegnet ved meget forskellige karakteristika. Det gælder f.eks. med hensyn til, hvorvidt det er tale om en delt kapacitet eller ej samt med hensyn til bl.a. up- og downloadhastigheder, dækningsområder, stabilitet, osv.</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Til sommer vil oplysningerne om danskernes bredbåndsadgang blive suppleret med en ny kortlægning af mobildækningen i Danmark. Ambitionen med den nye kortlægning er at sikre, at oplysninger om mobildækning er både retvisende og sammenlignelige på tværs mellem teleselskaberne. De nye dækningskort udarbejdes derfor efter nye og fælles retningslinjer på tværs af mobilselskaberne.</w:t>
      </w:r>
    </w:p>
    <w:p w:rsidR="00D024D1" w:rsidRPr="00D024D1" w:rsidRDefault="00D024D1" w:rsidP="00D024D1">
      <w:pPr>
        <w:pStyle w:val="NormalWeb"/>
        <w:rPr>
          <w:rFonts w:ascii="Verdana" w:hAnsi="Verdana"/>
          <w:bCs/>
          <w:color w:val="000000"/>
          <w:sz w:val="22"/>
          <w:szCs w:val="22"/>
        </w:rPr>
      </w:pPr>
      <w:r w:rsidRPr="00D024D1">
        <w:rPr>
          <w:rFonts w:ascii="Verdana" w:hAnsi="Verdana"/>
          <w:b/>
          <w:bCs/>
          <w:color w:val="000000"/>
          <w:sz w:val="22"/>
          <w:szCs w:val="22"/>
        </w:rPr>
        <w:t>Digital infrastruktu</w:t>
      </w:r>
      <w:r w:rsidRPr="00D024D1">
        <w:rPr>
          <w:rFonts w:ascii="Verdana" w:hAnsi="Verdana"/>
          <w:b/>
          <w:bCs/>
          <w:color w:val="000000"/>
          <w:sz w:val="22"/>
          <w:szCs w:val="22"/>
        </w:rPr>
        <w:t>r i bygninger</w:t>
      </w:r>
      <w:r w:rsidRPr="00D024D1">
        <w:rPr>
          <w:rFonts w:ascii="Verdana" w:hAnsi="Verdana"/>
          <w:b/>
          <w:bCs/>
          <w:color w:val="000000"/>
          <w:sz w:val="22"/>
          <w:szCs w:val="22"/>
        </w:rPr>
        <w:br/>
      </w:r>
      <w:r w:rsidRPr="00D024D1">
        <w:rPr>
          <w:rFonts w:ascii="Verdana" w:hAnsi="Verdana"/>
          <w:bCs/>
          <w:color w:val="000000"/>
          <w:sz w:val="22"/>
          <w:szCs w:val="22"/>
        </w:rPr>
        <w:t>Teleindustrien har fremsendt høringssvar til Energistyrelsen vedrørende Bygningsreglementet 2015.</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 xml:space="preserve">De øgede krav til energi-isolering af bygninger gør det mere og mere vanskeligt at sikre god indendørs mobildækning. Samtidig hører vi ofte om, at nybyggerier ikke er forberedt til højhastigheds bredbånd eller etablering af indendørs mobilanlæg – </w:t>
      </w:r>
      <w:proofErr w:type="spellStart"/>
      <w:r w:rsidRPr="00D024D1">
        <w:rPr>
          <w:rFonts w:ascii="Verdana" w:hAnsi="Verdana"/>
          <w:bCs/>
          <w:color w:val="000000"/>
          <w:sz w:val="22"/>
          <w:szCs w:val="22"/>
        </w:rPr>
        <w:t>dvs</w:t>
      </w:r>
      <w:proofErr w:type="spellEnd"/>
      <w:r w:rsidRPr="00D024D1">
        <w:rPr>
          <w:rFonts w:ascii="Verdana" w:hAnsi="Verdana"/>
          <w:bCs/>
          <w:color w:val="000000"/>
          <w:sz w:val="22"/>
          <w:szCs w:val="22"/>
        </w:rPr>
        <w:t xml:space="preserve"> at der ikke er trukket kabler eller lavet kabelkanaler eller nogen form for forberedelse af den digitale infrastruktur i bygningen.</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Der er i dag i infrastrukturdirektivet krav om at forberede byggerier til højhastighedsbredbånd. Men kravet er ikke implementeret i bygningsreglementet – og det ville være det naturlige sted at implementere sådanne krav.</w:t>
      </w:r>
    </w:p>
    <w:p w:rsidR="00D024D1" w:rsidRPr="00D024D1" w:rsidRDefault="00D024D1" w:rsidP="00D024D1">
      <w:pPr>
        <w:pStyle w:val="NormalWeb"/>
        <w:rPr>
          <w:rFonts w:ascii="Verdana" w:hAnsi="Verdana"/>
          <w:bCs/>
          <w:color w:val="000000"/>
          <w:sz w:val="22"/>
          <w:szCs w:val="22"/>
        </w:rPr>
      </w:pP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 xml:space="preserve">Hvis vi fremadrettet skal sikre, at vi har en god digital infrastruktur – også når vi er indendørs – så skal vi begynde at </w:t>
      </w:r>
      <w:proofErr w:type="spellStart"/>
      <w:r w:rsidRPr="00D024D1">
        <w:rPr>
          <w:rFonts w:ascii="Verdana" w:hAnsi="Verdana"/>
          <w:bCs/>
          <w:color w:val="000000"/>
          <w:sz w:val="22"/>
          <w:szCs w:val="22"/>
        </w:rPr>
        <w:t>indtænke</w:t>
      </w:r>
      <w:proofErr w:type="spellEnd"/>
      <w:r w:rsidRPr="00D024D1">
        <w:rPr>
          <w:rFonts w:ascii="Verdana" w:hAnsi="Verdana"/>
          <w:bCs/>
          <w:color w:val="000000"/>
          <w:sz w:val="22"/>
          <w:szCs w:val="22"/>
        </w:rPr>
        <w:t xml:space="preserve"> infrastrukturen tidligt i nybyggerier og ved større renovationer. Det ville være naturligt i bygningsreglementet at stille krav til digitale føringsveje.</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 xml:space="preserve">Læs mere her: </w:t>
      </w:r>
      <w:hyperlink r:id="rId9" w:history="1">
        <w:r w:rsidRPr="00BB26BB">
          <w:rPr>
            <w:rStyle w:val="Hyperlink"/>
            <w:rFonts w:ascii="Verdana" w:hAnsi="Verdana"/>
            <w:bCs/>
            <w:sz w:val="22"/>
            <w:szCs w:val="22"/>
          </w:rPr>
          <w:t>http://www.teleindu.dk/digital-infrastruktur-i-bygninger/</w:t>
        </w:r>
      </w:hyperlink>
      <w:r>
        <w:rPr>
          <w:rFonts w:ascii="Verdana" w:hAnsi="Verdana"/>
          <w:bCs/>
          <w:color w:val="000000"/>
          <w:sz w:val="22"/>
          <w:szCs w:val="22"/>
        </w:rPr>
        <w:t xml:space="preserve"> </w:t>
      </w:r>
      <w:r w:rsidRPr="00D024D1">
        <w:rPr>
          <w:rFonts w:ascii="Verdana" w:hAnsi="Verdana"/>
          <w:bCs/>
          <w:color w:val="000000"/>
          <w:sz w:val="22"/>
          <w:szCs w:val="22"/>
        </w:rPr>
        <w:t xml:space="preserve"> </w:t>
      </w:r>
    </w:p>
    <w:p w:rsidR="00D024D1" w:rsidRPr="00D024D1" w:rsidRDefault="00D024D1" w:rsidP="00D024D1">
      <w:pPr>
        <w:pStyle w:val="NormalWeb"/>
        <w:rPr>
          <w:rFonts w:ascii="Verdana" w:hAnsi="Verdana"/>
          <w:bCs/>
          <w:color w:val="000000"/>
          <w:sz w:val="22"/>
          <w:szCs w:val="22"/>
        </w:rPr>
      </w:pPr>
      <w:r w:rsidRPr="00D024D1">
        <w:rPr>
          <w:rFonts w:ascii="Verdana" w:hAnsi="Verdana"/>
          <w:b/>
          <w:bCs/>
          <w:color w:val="000000"/>
          <w:sz w:val="22"/>
          <w:szCs w:val="22"/>
        </w:rPr>
        <w:t>Revision af logningsreglerne</w:t>
      </w:r>
      <w:r w:rsidRPr="00D024D1">
        <w:rPr>
          <w:rFonts w:ascii="Verdana" w:hAnsi="Verdana"/>
          <w:b/>
          <w:bCs/>
          <w:color w:val="000000"/>
          <w:sz w:val="22"/>
          <w:szCs w:val="22"/>
        </w:rPr>
        <w:br/>
      </w:r>
      <w:r w:rsidRPr="00D024D1">
        <w:rPr>
          <w:rFonts w:ascii="Verdana" w:hAnsi="Verdana"/>
          <w:bCs/>
          <w:color w:val="000000"/>
          <w:sz w:val="22"/>
          <w:szCs w:val="22"/>
        </w:rPr>
        <w:t>Teleindustrien har indsendt høringssvar til Justitsministeriet vedrørende udsættelse af revision af logningsreglerne.</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Teleindustrien støtter en udsættelse af revisionen af logningsreglerne til der er klarhed om rammerne på EU-niveau, således at Danmark ikke igen skal gå enegang og have særlige danske regler om logning af danskerne digitale adfærd.</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Teleindustrien er imidlertid forundret over, at den foreslåede udsættelse af revisionen er fastsat til allerede 2015-16, bl.a. set i lyset af at en egentlig revision allerede er udsat 4 gange. Netop fordi hensynet til afklaring af forholdene vedr. EU-regulering anføres som begrundelse for at udsætte revisionen, vil Teleindustrien foreslå, at lovteksten ændres, således at revisionen udsættes indtil der foreligger afklaring af EU-reguleringen i form af en ny vedtaget retsakt.</w:t>
      </w:r>
    </w:p>
    <w:p w:rsidR="00D024D1"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 xml:space="preserve">Læs høringssvaret her </w:t>
      </w:r>
      <w:hyperlink r:id="rId10" w:history="1">
        <w:r w:rsidRPr="00BB26BB">
          <w:rPr>
            <w:rStyle w:val="Hyperlink"/>
            <w:rFonts w:ascii="Verdana" w:hAnsi="Verdana"/>
            <w:bCs/>
            <w:sz w:val="22"/>
            <w:szCs w:val="22"/>
          </w:rPr>
          <w:t>http://www.teleindu.dk/revision-af-logningsregler/</w:t>
        </w:r>
      </w:hyperlink>
      <w:r>
        <w:rPr>
          <w:rFonts w:ascii="Verdana" w:hAnsi="Verdana"/>
          <w:bCs/>
          <w:color w:val="000000"/>
          <w:sz w:val="22"/>
          <w:szCs w:val="22"/>
        </w:rPr>
        <w:t xml:space="preserve"> </w:t>
      </w:r>
      <w:r w:rsidRPr="00D024D1">
        <w:rPr>
          <w:rFonts w:ascii="Verdana" w:hAnsi="Verdana"/>
          <w:bCs/>
          <w:color w:val="000000"/>
          <w:sz w:val="22"/>
          <w:szCs w:val="22"/>
        </w:rPr>
        <w:t xml:space="preserve"> </w:t>
      </w:r>
    </w:p>
    <w:p w:rsidR="00D024D1" w:rsidRPr="00D024D1" w:rsidRDefault="00D024D1" w:rsidP="00D024D1">
      <w:pPr>
        <w:pStyle w:val="NormalWeb"/>
        <w:rPr>
          <w:rFonts w:ascii="Verdana" w:hAnsi="Verdana"/>
          <w:bCs/>
          <w:color w:val="000000"/>
          <w:sz w:val="22"/>
          <w:szCs w:val="22"/>
        </w:rPr>
      </w:pPr>
      <w:r w:rsidRPr="00D024D1">
        <w:rPr>
          <w:rFonts w:ascii="Verdana" w:hAnsi="Verdana"/>
          <w:b/>
          <w:bCs/>
          <w:color w:val="000000"/>
          <w:sz w:val="22"/>
          <w:szCs w:val="22"/>
        </w:rPr>
        <w:lastRenderedPageBreak/>
        <w:t>N</w:t>
      </w:r>
      <w:r w:rsidRPr="00D024D1">
        <w:rPr>
          <w:rFonts w:ascii="Verdana" w:hAnsi="Verdana"/>
          <w:b/>
          <w:bCs/>
          <w:color w:val="000000"/>
          <w:sz w:val="22"/>
          <w:szCs w:val="22"/>
        </w:rPr>
        <w:t>y i Teleindustriens sekretariat</w:t>
      </w:r>
      <w:r w:rsidRPr="00D024D1">
        <w:rPr>
          <w:rFonts w:ascii="Verdana" w:hAnsi="Verdana"/>
          <w:b/>
          <w:bCs/>
          <w:color w:val="000000"/>
          <w:sz w:val="22"/>
          <w:szCs w:val="22"/>
        </w:rPr>
        <w:br/>
      </w:r>
      <w:r w:rsidRPr="00D024D1">
        <w:rPr>
          <w:rFonts w:ascii="Verdana" w:hAnsi="Verdana"/>
          <w:bCs/>
          <w:color w:val="000000"/>
          <w:sz w:val="22"/>
          <w:szCs w:val="22"/>
        </w:rPr>
        <w:t xml:space="preserve">Velkommen til Hugo Prestegaard, som vi har ansat til at hjælpe i </w:t>
      </w:r>
      <w:proofErr w:type="spellStart"/>
      <w:r w:rsidRPr="00D024D1">
        <w:rPr>
          <w:rFonts w:ascii="Verdana" w:hAnsi="Verdana"/>
          <w:bCs/>
          <w:color w:val="000000"/>
          <w:sz w:val="22"/>
          <w:szCs w:val="22"/>
        </w:rPr>
        <w:t>TI’s</w:t>
      </w:r>
      <w:proofErr w:type="spellEnd"/>
      <w:r w:rsidRPr="00D024D1">
        <w:rPr>
          <w:rFonts w:ascii="Verdana" w:hAnsi="Verdana"/>
          <w:bCs/>
          <w:color w:val="000000"/>
          <w:sz w:val="22"/>
          <w:szCs w:val="22"/>
        </w:rPr>
        <w:t xml:space="preserve"> sekretariat. Hugo er ansat i en midlertidig stilling frem til medio juli. Hugo vil være at finde bag postadressen post@teleindu.dk - og vores forenings hovednummer 33138020.</w:t>
      </w:r>
    </w:p>
    <w:p w:rsidR="00D024D1" w:rsidRPr="00D024D1" w:rsidRDefault="00D024D1" w:rsidP="00D024D1">
      <w:pPr>
        <w:pStyle w:val="NormalWeb"/>
        <w:rPr>
          <w:rFonts w:ascii="Verdana" w:hAnsi="Verdana"/>
          <w:b/>
          <w:bCs/>
          <w:color w:val="000000"/>
          <w:sz w:val="22"/>
          <w:szCs w:val="22"/>
        </w:rPr>
      </w:pPr>
      <w:r>
        <w:rPr>
          <w:rFonts w:ascii="Verdana" w:hAnsi="Verdana"/>
          <w:b/>
          <w:bCs/>
          <w:color w:val="000000"/>
          <w:sz w:val="22"/>
          <w:szCs w:val="22"/>
        </w:rPr>
        <w:t>Husk – i kalenderen</w:t>
      </w:r>
      <w:r>
        <w:rPr>
          <w:rFonts w:ascii="Verdana" w:hAnsi="Verdana"/>
          <w:b/>
          <w:bCs/>
          <w:color w:val="000000"/>
          <w:sz w:val="22"/>
          <w:szCs w:val="22"/>
        </w:rPr>
        <w:br/>
      </w:r>
      <w:r w:rsidRPr="00D024D1">
        <w:rPr>
          <w:rFonts w:ascii="Verdana" w:hAnsi="Verdana"/>
          <w:bCs/>
          <w:color w:val="000000"/>
          <w:sz w:val="22"/>
          <w:szCs w:val="22"/>
        </w:rPr>
        <w:t>Tele 2015 – 7. april 2015 i DI på Rådhuspladsen</w:t>
      </w:r>
      <w:r>
        <w:rPr>
          <w:rFonts w:ascii="Verdana" w:hAnsi="Verdana"/>
          <w:b/>
          <w:bCs/>
          <w:color w:val="000000"/>
          <w:sz w:val="22"/>
          <w:szCs w:val="22"/>
        </w:rPr>
        <w:br/>
      </w:r>
      <w:r w:rsidRPr="00D024D1">
        <w:rPr>
          <w:rFonts w:ascii="Verdana" w:hAnsi="Verdana"/>
          <w:bCs/>
          <w:color w:val="000000"/>
          <w:sz w:val="22"/>
          <w:szCs w:val="22"/>
        </w:rPr>
        <w:t>Teleindustriens Generalforsamling og Årsdag – 2. juni 2015</w:t>
      </w:r>
    </w:p>
    <w:p w:rsidR="00D024D1" w:rsidRDefault="00D024D1" w:rsidP="00D024D1">
      <w:pPr>
        <w:pStyle w:val="NormalWeb"/>
        <w:rPr>
          <w:rFonts w:ascii="Verdana" w:hAnsi="Verdana"/>
          <w:bCs/>
          <w:color w:val="000000"/>
          <w:sz w:val="22"/>
          <w:szCs w:val="22"/>
        </w:rPr>
      </w:pPr>
      <w:r>
        <w:rPr>
          <w:rFonts w:ascii="Verdana" w:hAnsi="Verdana"/>
          <w:bCs/>
          <w:color w:val="000000"/>
          <w:sz w:val="22"/>
          <w:szCs w:val="22"/>
        </w:rPr>
        <w:t>------</w:t>
      </w:r>
    </w:p>
    <w:p w:rsidR="003D5F0D" w:rsidRPr="00D024D1" w:rsidRDefault="00D024D1" w:rsidP="00D024D1">
      <w:pPr>
        <w:pStyle w:val="NormalWeb"/>
        <w:rPr>
          <w:rFonts w:ascii="Verdana" w:hAnsi="Verdana"/>
          <w:bCs/>
          <w:color w:val="000000"/>
          <w:sz w:val="22"/>
          <w:szCs w:val="22"/>
        </w:rPr>
      </w:pPr>
      <w:r w:rsidRPr="00D024D1">
        <w:rPr>
          <w:rFonts w:ascii="Verdana" w:hAnsi="Verdana"/>
          <w:bCs/>
          <w:color w:val="000000"/>
          <w:sz w:val="22"/>
          <w:szCs w:val="22"/>
        </w:rPr>
        <w:t>Teleindustrien, A</w:t>
      </w:r>
      <w:r>
        <w:rPr>
          <w:rFonts w:ascii="Verdana" w:hAnsi="Verdana"/>
          <w:bCs/>
          <w:color w:val="000000"/>
          <w:sz w:val="22"/>
          <w:szCs w:val="22"/>
        </w:rPr>
        <w:t>xeltorv 6, 3., 1609 København V</w:t>
      </w:r>
      <w:r>
        <w:rPr>
          <w:rFonts w:ascii="Verdana" w:hAnsi="Verdana"/>
          <w:bCs/>
          <w:color w:val="000000"/>
          <w:sz w:val="22"/>
          <w:szCs w:val="22"/>
        </w:rPr>
        <w:br/>
        <w:t>Telefon: 33 13 80 20</w:t>
      </w:r>
      <w:r>
        <w:rPr>
          <w:rFonts w:ascii="Verdana" w:hAnsi="Verdana"/>
          <w:bCs/>
          <w:color w:val="000000"/>
          <w:sz w:val="22"/>
          <w:szCs w:val="22"/>
        </w:rPr>
        <w:br/>
      </w:r>
      <w:hyperlink r:id="rId11" w:history="1">
        <w:r w:rsidRPr="00BB26BB">
          <w:rPr>
            <w:rStyle w:val="Hyperlink"/>
            <w:rFonts w:ascii="Verdana" w:hAnsi="Verdana"/>
            <w:bCs/>
            <w:sz w:val="22"/>
            <w:szCs w:val="22"/>
          </w:rPr>
          <w:t>post@teleindu.dk</w:t>
        </w:r>
      </w:hyperlink>
      <w:r>
        <w:rPr>
          <w:rFonts w:ascii="Verdana" w:hAnsi="Verdana"/>
          <w:bCs/>
          <w:color w:val="000000"/>
          <w:sz w:val="22"/>
          <w:szCs w:val="22"/>
        </w:rPr>
        <w:br/>
      </w:r>
      <w:hyperlink r:id="rId12" w:history="1">
        <w:r w:rsidRPr="00BB26BB">
          <w:rPr>
            <w:rStyle w:val="Hyperlink"/>
            <w:rFonts w:ascii="Verdana" w:hAnsi="Verdana"/>
            <w:bCs/>
            <w:sz w:val="22"/>
            <w:szCs w:val="22"/>
          </w:rPr>
          <w:t>www.teleindu.dk</w:t>
        </w:r>
      </w:hyperlink>
      <w:r>
        <w:rPr>
          <w:rFonts w:ascii="Verdana" w:hAnsi="Verdana"/>
          <w:bCs/>
          <w:color w:val="000000"/>
          <w:sz w:val="22"/>
          <w:szCs w:val="22"/>
        </w:rPr>
        <w:t xml:space="preserve"> </w:t>
      </w:r>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Calibri"/>
          <w:noProof/>
          <w:color w:val="1F497D"/>
          <w:lang w:eastAsia="da-DK"/>
        </w:rPr>
        <w:drawing>
          <wp:inline distT="0" distB="0" distL="0" distR="0" wp14:anchorId="07164C96" wp14:editId="7D84D9ED">
            <wp:extent cx="1724025" cy="1076325"/>
            <wp:effectExtent l="0" t="0" r="0" b="0"/>
            <wp:docPr id="3" name="Billede 3" descr="TI-NT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TRK-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p w:rsidR="002E6B3E" w:rsidRPr="003D5F0D" w:rsidRDefault="002E6B3E">
      <w:pPr>
        <w:rPr>
          <w:rFonts w:ascii="Verdana" w:hAnsi="Verdana"/>
        </w:rPr>
      </w:pPr>
      <w:bookmarkStart w:id="1" w:name="_GoBack"/>
      <w:bookmarkEnd w:id="1"/>
    </w:p>
    <w:sectPr w:rsidR="002E6B3E" w:rsidRPr="003D5F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237E4"/>
    <w:multiLevelType w:val="hybridMultilevel"/>
    <w:tmpl w:val="C010CC6A"/>
    <w:lvl w:ilvl="0" w:tplc="793A0182">
      <w:start w:val="1"/>
      <w:numFmt w:val="bullet"/>
      <w:lvlText w:val=""/>
      <w:lvlJc w:val="left"/>
      <w:pPr>
        <w:tabs>
          <w:tab w:val="num" w:pos="720"/>
        </w:tabs>
        <w:ind w:left="720" w:hanging="360"/>
      </w:pPr>
      <w:rPr>
        <w:rFonts w:ascii="Wingdings" w:hAnsi="Wingdings" w:hint="default"/>
      </w:rPr>
    </w:lvl>
    <w:lvl w:ilvl="1" w:tplc="466A9F1E" w:tentative="1">
      <w:start w:val="1"/>
      <w:numFmt w:val="bullet"/>
      <w:lvlText w:val=""/>
      <w:lvlJc w:val="left"/>
      <w:pPr>
        <w:tabs>
          <w:tab w:val="num" w:pos="1440"/>
        </w:tabs>
        <w:ind w:left="1440" w:hanging="360"/>
      </w:pPr>
      <w:rPr>
        <w:rFonts w:ascii="Wingdings" w:hAnsi="Wingdings" w:hint="default"/>
      </w:rPr>
    </w:lvl>
    <w:lvl w:ilvl="2" w:tplc="D9203894" w:tentative="1">
      <w:start w:val="1"/>
      <w:numFmt w:val="bullet"/>
      <w:lvlText w:val=""/>
      <w:lvlJc w:val="left"/>
      <w:pPr>
        <w:tabs>
          <w:tab w:val="num" w:pos="2160"/>
        </w:tabs>
        <w:ind w:left="2160" w:hanging="360"/>
      </w:pPr>
      <w:rPr>
        <w:rFonts w:ascii="Wingdings" w:hAnsi="Wingdings" w:hint="default"/>
      </w:rPr>
    </w:lvl>
    <w:lvl w:ilvl="3" w:tplc="0A84BD0A" w:tentative="1">
      <w:start w:val="1"/>
      <w:numFmt w:val="bullet"/>
      <w:lvlText w:val=""/>
      <w:lvlJc w:val="left"/>
      <w:pPr>
        <w:tabs>
          <w:tab w:val="num" w:pos="2880"/>
        </w:tabs>
        <w:ind w:left="2880" w:hanging="360"/>
      </w:pPr>
      <w:rPr>
        <w:rFonts w:ascii="Wingdings" w:hAnsi="Wingdings" w:hint="default"/>
      </w:rPr>
    </w:lvl>
    <w:lvl w:ilvl="4" w:tplc="A12A3BCC" w:tentative="1">
      <w:start w:val="1"/>
      <w:numFmt w:val="bullet"/>
      <w:lvlText w:val=""/>
      <w:lvlJc w:val="left"/>
      <w:pPr>
        <w:tabs>
          <w:tab w:val="num" w:pos="3600"/>
        </w:tabs>
        <w:ind w:left="3600" w:hanging="360"/>
      </w:pPr>
      <w:rPr>
        <w:rFonts w:ascii="Wingdings" w:hAnsi="Wingdings" w:hint="default"/>
      </w:rPr>
    </w:lvl>
    <w:lvl w:ilvl="5" w:tplc="517EB83A" w:tentative="1">
      <w:start w:val="1"/>
      <w:numFmt w:val="bullet"/>
      <w:lvlText w:val=""/>
      <w:lvlJc w:val="left"/>
      <w:pPr>
        <w:tabs>
          <w:tab w:val="num" w:pos="4320"/>
        </w:tabs>
        <w:ind w:left="4320" w:hanging="360"/>
      </w:pPr>
      <w:rPr>
        <w:rFonts w:ascii="Wingdings" w:hAnsi="Wingdings" w:hint="default"/>
      </w:rPr>
    </w:lvl>
    <w:lvl w:ilvl="6" w:tplc="1BF4A3D0" w:tentative="1">
      <w:start w:val="1"/>
      <w:numFmt w:val="bullet"/>
      <w:lvlText w:val=""/>
      <w:lvlJc w:val="left"/>
      <w:pPr>
        <w:tabs>
          <w:tab w:val="num" w:pos="5040"/>
        </w:tabs>
        <w:ind w:left="5040" w:hanging="360"/>
      </w:pPr>
      <w:rPr>
        <w:rFonts w:ascii="Wingdings" w:hAnsi="Wingdings" w:hint="default"/>
      </w:rPr>
    </w:lvl>
    <w:lvl w:ilvl="7" w:tplc="EF08B12C" w:tentative="1">
      <w:start w:val="1"/>
      <w:numFmt w:val="bullet"/>
      <w:lvlText w:val=""/>
      <w:lvlJc w:val="left"/>
      <w:pPr>
        <w:tabs>
          <w:tab w:val="num" w:pos="5760"/>
        </w:tabs>
        <w:ind w:left="5760" w:hanging="360"/>
      </w:pPr>
      <w:rPr>
        <w:rFonts w:ascii="Wingdings" w:hAnsi="Wingdings" w:hint="default"/>
      </w:rPr>
    </w:lvl>
    <w:lvl w:ilvl="8" w:tplc="95BE2E4A" w:tentative="1">
      <w:start w:val="1"/>
      <w:numFmt w:val="bullet"/>
      <w:lvlText w:val=""/>
      <w:lvlJc w:val="left"/>
      <w:pPr>
        <w:tabs>
          <w:tab w:val="num" w:pos="6480"/>
        </w:tabs>
        <w:ind w:left="6480" w:hanging="360"/>
      </w:pPr>
      <w:rPr>
        <w:rFonts w:ascii="Wingdings" w:hAnsi="Wingdings" w:hint="default"/>
      </w:rPr>
    </w:lvl>
  </w:abstractNum>
  <w:abstractNum w:abstractNumId="1">
    <w:nsid w:val="257A5FB3"/>
    <w:multiLevelType w:val="hybridMultilevel"/>
    <w:tmpl w:val="DD4897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2AD56FFE"/>
    <w:multiLevelType w:val="hybridMultilevel"/>
    <w:tmpl w:val="77B037CA"/>
    <w:lvl w:ilvl="0" w:tplc="CAFA7BFC">
      <w:start w:val="1"/>
      <w:numFmt w:val="bullet"/>
      <w:lvlText w:val=""/>
      <w:lvlJc w:val="left"/>
      <w:pPr>
        <w:tabs>
          <w:tab w:val="num" w:pos="720"/>
        </w:tabs>
        <w:ind w:left="720" w:hanging="360"/>
      </w:pPr>
      <w:rPr>
        <w:rFonts w:ascii="Wingdings" w:hAnsi="Wingdings" w:hint="default"/>
      </w:rPr>
    </w:lvl>
    <w:lvl w:ilvl="1" w:tplc="007E3DA0" w:tentative="1">
      <w:start w:val="1"/>
      <w:numFmt w:val="bullet"/>
      <w:lvlText w:val=""/>
      <w:lvlJc w:val="left"/>
      <w:pPr>
        <w:tabs>
          <w:tab w:val="num" w:pos="1440"/>
        </w:tabs>
        <w:ind w:left="1440" w:hanging="360"/>
      </w:pPr>
      <w:rPr>
        <w:rFonts w:ascii="Wingdings" w:hAnsi="Wingdings" w:hint="default"/>
      </w:rPr>
    </w:lvl>
    <w:lvl w:ilvl="2" w:tplc="A99092DA" w:tentative="1">
      <w:start w:val="1"/>
      <w:numFmt w:val="bullet"/>
      <w:lvlText w:val=""/>
      <w:lvlJc w:val="left"/>
      <w:pPr>
        <w:tabs>
          <w:tab w:val="num" w:pos="2160"/>
        </w:tabs>
        <w:ind w:left="2160" w:hanging="360"/>
      </w:pPr>
      <w:rPr>
        <w:rFonts w:ascii="Wingdings" w:hAnsi="Wingdings" w:hint="default"/>
      </w:rPr>
    </w:lvl>
    <w:lvl w:ilvl="3" w:tplc="4350A9F6" w:tentative="1">
      <w:start w:val="1"/>
      <w:numFmt w:val="bullet"/>
      <w:lvlText w:val=""/>
      <w:lvlJc w:val="left"/>
      <w:pPr>
        <w:tabs>
          <w:tab w:val="num" w:pos="2880"/>
        </w:tabs>
        <w:ind w:left="2880" w:hanging="360"/>
      </w:pPr>
      <w:rPr>
        <w:rFonts w:ascii="Wingdings" w:hAnsi="Wingdings" w:hint="default"/>
      </w:rPr>
    </w:lvl>
    <w:lvl w:ilvl="4" w:tplc="AEE0774C" w:tentative="1">
      <w:start w:val="1"/>
      <w:numFmt w:val="bullet"/>
      <w:lvlText w:val=""/>
      <w:lvlJc w:val="left"/>
      <w:pPr>
        <w:tabs>
          <w:tab w:val="num" w:pos="3600"/>
        </w:tabs>
        <w:ind w:left="3600" w:hanging="360"/>
      </w:pPr>
      <w:rPr>
        <w:rFonts w:ascii="Wingdings" w:hAnsi="Wingdings" w:hint="default"/>
      </w:rPr>
    </w:lvl>
    <w:lvl w:ilvl="5" w:tplc="07CEDAE2" w:tentative="1">
      <w:start w:val="1"/>
      <w:numFmt w:val="bullet"/>
      <w:lvlText w:val=""/>
      <w:lvlJc w:val="left"/>
      <w:pPr>
        <w:tabs>
          <w:tab w:val="num" w:pos="4320"/>
        </w:tabs>
        <w:ind w:left="4320" w:hanging="360"/>
      </w:pPr>
      <w:rPr>
        <w:rFonts w:ascii="Wingdings" w:hAnsi="Wingdings" w:hint="default"/>
      </w:rPr>
    </w:lvl>
    <w:lvl w:ilvl="6" w:tplc="C4F6C440" w:tentative="1">
      <w:start w:val="1"/>
      <w:numFmt w:val="bullet"/>
      <w:lvlText w:val=""/>
      <w:lvlJc w:val="left"/>
      <w:pPr>
        <w:tabs>
          <w:tab w:val="num" w:pos="5040"/>
        </w:tabs>
        <w:ind w:left="5040" w:hanging="360"/>
      </w:pPr>
      <w:rPr>
        <w:rFonts w:ascii="Wingdings" w:hAnsi="Wingdings" w:hint="default"/>
      </w:rPr>
    </w:lvl>
    <w:lvl w:ilvl="7" w:tplc="807EF084" w:tentative="1">
      <w:start w:val="1"/>
      <w:numFmt w:val="bullet"/>
      <w:lvlText w:val=""/>
      <w:lvlJc w:val="left"/>
      <w:pPr>
        <w:tabs>
          <w:tab w:val="num" w:pos="5760"/>
        </w:tabs>
        <w:ind w:left="5760" w:hanging="360"/>
      </w:pPr>
      <w:rPr>
        <w:rFonts w:ascii="Wingdings" w:hAnsi="Wingdings" w:hint="default"/>
      </w:rPr>
    </w:lvl>
    <w:lvl w:ilvl="8" w:tplc="9926BB1A" w:tentative="1">
      <w:start w:val="1"/>
      <w:numFmt w:val="bullet"/>
      <w:lvlText w:val=""/>
      <w:lvlJc w:val="left"/>
      <w:pPr>
        <w:tabs>
          <w:tab w:val="num" w:pos="6480"/>
        </w:tabs>
        <w:ind w:left="6480" w:hanging="360"/>
      </w:pPr>
      <w:rPr>
        <w:rFonts w:ascii="Wingdings" w:hAnsi="Wingdings" w:hint="default"/>
      </w:rPr>
    </w:lvl>
  </w:abstractNum>
  <w:abstractNum w:abstractNumId="3">
    <w:nsid w:val="6A156C63"/>
    <w:multiLevelType w:val="hybridMultilevel"/>
    <w:tmpl w:val="E2BCD944"/>
    <w:lvl w:ilvl="0" w:tplc="A0241736">
      <w:start w:val="1"/>
      <w:numFmt w:val="bullet"/>
      <w:lvlText w:val=""/>
      <w:lvlJc w:val="left"/>
      <w:pPr>
        <w:tabs>
          <w:tab w:val="num" w:pos="720"/>
        </w:tabs>
        <w:ind w:left="720" w:hanging="360"/>
      </w:pPr>
      <w:rPr>
        <w:rFonts w:ascii="Wingdings" w:hAnsi="Wingdings" w:hint="default"/>
      </w:rPr>
    </w:lvl>
    <w:lvl w:ilvl="1" w:tplc="E8C45F80" w:tentative="1">
      <w:start w:val="1"/>
      <w:numFmt w:val="bullet"/>
      <w:lvlText w:val=""/>
      <w:lvlJc w:val="left"/>
      <w:pPr>
        <w:tabs>
          <w:tab w:val="num" w:pos="1440"/>
        </w:tabs>
        <w:ind w:left="1440" w:hanging="360"/>
      </w:pPr>
      <w:rPr>
        <w:rFonts w:ascii="Wingdings" w:hAnsi="Wingdings" w:hint="default"/>
      </w:rPr>
    </w:lvl>
    <w:lvl w:ilvl="2" w:tplc="4F1EBA46" w:tentative="1">
      <w:start w:val="1"/>
      <w:numFmt w:val="bullet"/>
      <w:lvlText w:val=""/>
      <w:lvlJc w:val="left"/>
      <w:pPr>
        <w:tabs>
          <w:tab w:val="num" w:pos="2160"/>
        </w:tabs>
        <w:ind w:left="2160" w:hanging="360"/>
      </w:pPr>
      <w:rPr>
        <w:rFonts w:ascii="Wingdings" w:hAnsi="Wingdings" w:hint="default"/>
      </w:rPr>
    </w:lvl>
    <w:lvl w:ilvl="3" w:tplc="AB1AAD54" w:tentative="1">
      <w:start w:val="1"/>
      <w:numFmt w:val="bullet"/>
      <w:lvlText w:val=""/>
      <w:lvlJc w:val="left"/>
      <w:pPr>
        <w:tabs>
          <w:tab w:val="num" w:pos="2880"/>
        </w:tabs>
        <w:ind w:left="2880" w:hanging="360"/>
      </w:pPr>
      <w:rPr>
        <w:rFonts w:ascii="Wingdings" w:hAnsi="Wingdings" w:hint="default"/>
      </w:rPr>
    </w:lvl>
    <w:lvl w:ilvl="4" w:tplc="FB3268B6" w:tentative="1">
      <w:start w:val="1"/>
      <w:numFmt w:val="bullet"/>
      <w:lvlText w:val=""/>
      <w:lvlJc w:val="left"/>
      <w:pPr>
        <w:tabs>
          <w:tab w:val="num" w:pos="3600"/>
        </w:tabs>
        <w:ind w:left="3600" w:hanging="360"/>
      </w:pPr>
      <w:rPr>
        <w:rFonts w:ascii="Wingdings" w:hAnsi="Wingdings" w:hint="default"/>
      </w:rPr>
    </w:lvl>
    <w:lvl w:ilvl="5" w:tplc="6F0A5938" w:tentative="1">
      <w:start w:val="1"/>
      <w:numFmt w:val="bullet"/>
      <w:lvlText w:val=""/>
      <w:lvlJc w:val="left"/>
      <w:pPr>
        <w:tabs>
          <w:tab w:val="num" w:pos="4320"/>
        </w:tabs>
        <w:ind w:left="4320" w:hanging="360"/>
      </w:pPr>
      <w:rPr>
        <w:rFonts w:ascii="Wingdings" w:hAnsi="Wingdings" w:hint="default"/>
      </w:rPr>
    </w:lvl>
    <w:lvl w:ilvl="6" w:tplc="1F28C156" w:tentative="1">
      <w:start w:val="1"/>
      <w:numFmt w:val="bullet"/>
      <w:lvlText w:val=""/>
      <w:lvlJc w:val="left"/>
      <w:pPr>
        <w:tabs>
          <w:tab w:val="num" w:pos="5040"/>
        </w:tabs>
        <w:ind w:left="5040" w:hanging="360"/>
      </w:pPr>
      <w:rPr>
        <w:rFonts w:ascii="Wingdings" w:hAnsi="Wingdings" w:hint="default"/>
      </w:rPr>
    </w:lvl>
    <w:lvl w:ilvl="7" w:tplc="87009810" w:tentative="1">
      <w:start w:val="1"/>
      <w:numFmt w:val="bullet"/>
      <w:lvlText w:val=""/>
      <w:lvlJc w:val="left"/>
      <w:pPr>
        <w:tabs>
          <w:tab w:val="num" w:pos="5760"/>
        </w:tabs>
        <w:ind w:left="5760" w:hanging="360"/>
      </w:pPr>
      <w:rPr>
        <w:rFonts w:ascii="Wingdings" w:hAnsi="Wingdings" w:hint="default"/>
      </w:rPr>
    </w:lvl>
    <w:lvl w:ilvl="8" w:tplc="1F2A106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B"/>
    <w:rsid w:val="00007684"/>
    <w:rsid w:val="0003234F"/>
    <w:rsid w:val="000377EF"/>
    <w:rsid w:val="00040EFC"/>
    <w:rsid w:val="000448C4"/>
    <w:rsid w:val="00057FB3"/>
    <w:rsid w:val="000813B2"/>
    <w:rsid w:val="00096C63"/>
    <w:rsid w:val="00097778"/>
    <w:rsid w:val="000E2864"/>
    <w:rsid w:val="00125694"/>
    <w:rsid w:val="0013149B"/>
    <w:rsid w:val="0013396F"/>
    <w:rsid w:val="00141169"/>
    <w:rsid w:val="00176924"/>
    <w:rsid w:val="00185CA4"/>
    <w:rsid w:val="00190CD9"/>
    <w:rsid w:val="001954C1"/>
    <w:rsid w:val="001B32C8"/>
    <w:rsid w:val="001F5FF9"/>
    <w:rsid w:val="00220982"/>
    <w:rsid w:val="002221A7"/>
    <w:rsid w:val="00253305"/>
    <w:rsid w:val="00262577"/>
    <w:rsid w:val="00263EE5"/>
    <w:rsid w:val="00284E06"/>
    <w:rsid w:val="002D0AB4"/>
    <w:rsid w:val="002E6B3E"/>
    <w:rsid w:val="002F3BA2"/>
    <w:rsid w:val="00305B9D"/>
    <w:rsid w:val="003771F2"/>
    <w:rsid w:val="003D5F0D"/>
    <w:rsid w:val="003E01E7"/>
    <w:rsid w:val="003E5CC1"/>
    <w:rsid w:val="00415C1B"/>
    <w:rsid w:val="0042005A"/>
    <w:rsid w:val="00434D3D"/>
    <w:rsid w:val="0043677E"/>
    <w:rsid w:val="00444381"/>
    <w:rsid w:val="00486280"/>
    <w:rsid w:val="004A7ABA"/>
    <w:rsid w:val="004B4B43"/>
    <w:rsid w:val="004F5D15"/>
    <w:rsid w:val="005968A6"/>
    <w:rsid w:val="005A2244"/>
    <w:rsid w:val="005B5827"/>
    <w:rsid w:val="005D1B33"/>
    <w:rsid w:val="005D7F6F"/>
    <w:rsid w:val="005E4310"/>
    <w:rsid w:val="006475E5"/>
    <w:rsid w:val="00694906"/>
    <w:rsid w:val="00707394"/>
    <w:rsid w:val="00710109"/>
    <w:rsid w:val="00722557"/>
    <w:rsid w:val="00722F45"/>
    <w:rsid w:val="0075255A"/>
    <w:rsid w:val="007724CB"/>
    <w:rsid w:val="00774D44"/>
    <w:rsid w:val="00777412"/>
    <w:rsid w:val="007A6684"/>
    <w:rsid w:val="007D4B2A"/>
    <w:rsid w:val="007D5DE5"/>
    <w:rsid w:val="007E6BC2"/>
    <w:rsid w:val="00801F35"/>
    <w:rsid w:val="008079DA"/>
    <w:rsid w:val="00845430"/>
    <w:rsid w:val="00877F8D"/>
    <w:rsid w:val="008A0A5B"/>
    <w:rsid w:val="008F68EB"/>
    <w:rsid w:val="00925EEF"/>
    <w:rsid w:val="009462F0"/>
    <w:rsid w:val="009609CE"/>
    <w:rsid w:val="00980545"/>
    <w:rsid w:val="0098694C"/>
    <w:rsid w:val="009A4695"/>
    <w:rsid w:val="009B1277"/>
    <w:rsid w:val="009B3A6A"/>
    <w:rsid w:val="009B5E65"/>
    <w:rsid w:val="009D0BC6"/>
    <w:rsid w:val="009E255E"/>
    <w:rsid w:val="00A01393"/>
    <w:rsid w:val="00A244D9"/>
    <w:rsid w:val="00A2761A"/>
    <w:rsid w:val="00A57F5B"/>
    <w:rsid w:val="00A81A7E"/>
    <w:rsid w:val="00A8460B"/>
    <w:rsid w:val="00AD2BCB"/>
    <w:rsid w:val="00B90BF6"/>
    <w:rsid w:val="00B942B0"/>
    <w:rsid w:val="00C0395D"/>
    <w:rsid w:val="00C06E06"/>
    <w:rsid w:val="00C139E3"/>
    <w:rsid w:val="00CA7E96"/>
    <w:rsid w:val="00CD0D4E"/>
    <w:rsid w:val="00D024D1"/>
    <w:rsid w:val="00D02720"/>
    <w:rsid w:val="00D36679"/>
    <w:rsid w:val="00D420CC"/>
    <w:rsid w:val="00D662AD"/>
    <w:rsid w:val="00D80955"/>
    <w:rsid w:val="00D93E3B"/>
    <w:rsid w:val="00DB0A0B"/>
    <w:rsid w:val="00E56F42"/>
    <w:rsid w:val="00E63A9B"/>
    <w:rsid w:val="00EB64F7"/>
    <w:rsid w:val="00EB6CBD"/>
    <w:rsid w:val="00ED0E26"/>
    <w:rsid w:val="00EF099B"/>
    <w:rsid w:val="00F272FE"/>
    <w:rsid w:val="00F27BBC"/>
    <w:rsid w:val="00F333D4"/>
    <w:rsid w:val="00F37159"/>
    <w:rsid w:val="00F37198"/>
    <w:rsid w:val="00F40FDB"/>
    <w:rsid w:val="00F432B1"/>
    <w:rsid w:val="00F565EF"/>
    <w:rsid w:val="00F604A9"/>
    <w:rsid w:val="00F750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15540-02C6-4C32-8307-0C0FA0F6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C139E3"/>
    <w:rPr>
      <w:i/>
      <w:iCs/>
    </w:rPr>
  </w:style>
  <w:style w:type="paragraph" w:styleId="Listeafsnit">
    <w:name w:val="List Paragraph"/>
    <w:basedOn w:val="Normal"/>
    <w:uiPriority w:val="34"/>
    <w:qFormat/>
    <w:rsid w:val="00A244D9"/>
    <w:pPr>
      <w:spacing w:after="0" w:line="240" w:lineRule="auto"/>
      <w:ind w:left="720"/>
      <w:contextualSpacing/>
    </w:pPr>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5A22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7371">
      <w:bodyDiv w:val="1"/>
      <w:marLeft w:val="0"/>
      <w:marRight w:val="0"/>
      <w:marTop w:val="0"/>
      <w:marBottom w:val="0"/>
      <w:divBdr>
        <w:top w:val="none" w:sz="0" w:space="0" w:color="auto"/>
        <w:left w:val="none" w:sz="0" w:space="0" w:color="auto"/>
        <w:bottom w:val="none" w:sz="0" w:space="0" w:color="auto"/>
        <w:right w:val="none" w:sz="0" w:space="0" w:color="auto"/>
      </w:divBdr>
      <w:divsChild>
        <w:div w:id="497573127">
          <w:marLeft w:val="547"/>
          <w:marRight w:val="0"/>
          <w:marTop w:val="96"/>
          <w:marBottom w:val="0"/>
          <w:divBdr>
            <w:top w:val="none" w:sz="0" w:space="0" w:color="auto"/>
            <w:left w:val="none" w:sz="0" w:space="0" w:color="auto"/>
            <w:bottom w:val="none" w:sz="0" w:space="0" w:color="auto"/>
            <w:right w:val="none" w:sz="0" w:space="0" w:color="auto"/>
          </w:divBdr>
        </w:div>
        <w:div w:id="1308894642">
          <w:marLeft w:val="547"/>
          <w:marRight w:val="0"/>
          <w:marTop w:val="96"/>
          <w:marBottom w:val="0"/>
          <w:divBdr>
            <w:top w:val="none" w:sz="0" w:space="0" w:color="auto"/>
            <w:left w:val="none" w:sz="0" w:space="0" w:color="auto"/>
            <w:bottom w:val="none" w:sz="0" w:space="0" w:color="auto"/>
            <w:right w:val="none" w:sz="0" w:space="0" w:color="auto"/>
          </w:divBdr>
        </w:div>
        <w:div w:id="2087726348">
          <w:marLeft w:val="547"/>
          <w:marRight w:val="0"/>
          <w:marTop w:val="96"/>
          <w:marBottom w:val="0"/>
          <w:divBdr>
            <w:top w:val="none" w:sz="0" w:space="0" w:color="auto"/>
            <w:left w:val="none" w:sz="0" w:space="0" w:color="auto"/>
            <w:bottom w:val="none" w:sz="0" w:space="0" w:color="auto"/>
            <w:right w:val="none" w:sz="0" w:space="0" w:color="auto"/>
          </w:divBdr>
        </w:div>
        <w:div w:id="1433434790">
          <w:marLeft w:val="547"/>
          <w:marRight w:val="0"/>
          <w:marTop w:val="96"/>
          <w:marBottom w:val="0"/>
          <w:divBdr>
            <w:top w:val="none" w:sz="0" w:space="0" w:color="auto"/>
            <w:left w:val="none" w:sz="0" w:space="0" w:color="auto"/>
            <w:bottom w:val="none" w:sz="0" w:space="0" w:color="auto"/>
            <w:right w:val="none" w:sz="0" w:space="0" w:color="auto"/>
          </w:divBdr>
        </w:div>
        <w:div w:id="1624262577">
          <w:marLeft w:val="547"/>
          <w:marRight w:val="0"/>
          <w:marTop w:val="96"/>
          <w:marBottom w:val="0"/>
          <w:divBdr>
            <w:top w:val="none" w:sz="0" w:space="0" w:color="auto"/>
            <w:left w:val="none" w:sz="0" w:space="0" w:color="auto"/>
            <w:bottom w:val="none" w:sz="0" w:space="0" w:color="auto"/>
            <w:right w:val="none" w:sz="0" w:space="0" w:color="auto"/>
          </w:divBdr>
        </w:div>
        <w:div w:id="663780571">
          <w:marLeft w:val="547"/>
          <w:marRight w:val="0"/>
          <w:marTop w:val="96"/>
          <w:marBottom w:val="0"/>
          <w:divBdr>
            <w:top w:val="none" w:sz="0" w:space="0" w:color="auto"/>
            <w:left w:val="none" w:sz="0" w:space="0" w:color="auto"/>
            <w:bottom w:val="none" w:sz="0" w:space="0" w:color="auto"/>
            <w:right w:val="none" w:sz="0" w:space="0" w:color="auto"/>
          </w:divBdr>
        </w:div>
      </w:divsChild>
    </w:div>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682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12533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04">
      <w:bodyDiv w:val="1"/>
      <w:marLeft w:val="0"/>
      <w:marRight w:val="0"/>
      <w:marTop w:val="0"/>
      <w:marBottom w:val="0"/>
      <w:divBdr>
        <w:top w:val="none" w:sz="0" w:space="0" w:color="auto"/>
        <w:left w:val="none" w:sz="0" w:space="0" w:color="auto"/>
        <w:bottom w:val="none" w:sz="0" w:space="0" w:color="auto"/>
        <w:right w:val="none" w:sz="0" w:space="0" w:color="auto"/>
      </w:divBdr>
      <w:divsChild>
        <w:div w:id="2022387302">
          <w:marLeft w:val="0"/>
          <w:marRight w:val="0"/>
          <w:marTop w:val="0"/>
          <w:marBottom w:val="0"/>
          <w:divBdr>
            <w:top w:val="none" w:sz="0" w:space="0" w:color="auto"/>
            <w:left w:val="none" w:sz="0" w:space="0" w:color="auto"/>
            <w:bottom w:val="none" w:sz="0" w:space="0" w:color="auto"/>
            <w:right w:val="none" w:sz="0" w:space="0" w:color="auto"/>
          </w:divBdr>
          <w:divsChild>
            <w:div w:id="22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51410">
      <w:bodyDiv w:val="1"/>
      <w:marLeft w:val="0"/>
      <w:marRight w:val="0"/>
      <w:marTop w:val="0"/>
      <w:marBottom w:val="0"/>
      <w:divBdr>
        <w:top w:val="none" w:sz="0" w:space="0" w:color="auto"/>
        <w:left w:val="none" w:sz="0" w:space="0" w:color="auto"/>
        <w:bottom w:val="none" w:sz="0" w:space="0" w:color="auto"/>
        <w:right w:val="none" w:sz="0" w:space="0" w:color="auto"/>
      </w:divBdr>
      <w:divsChild>
        <w:div w:id="1042053593">
          <w:marLeft w:val="0"/>
          <w:marRight w:val="0"/>
          <w:marTop w:val="0"/>
          <w:marBottom w:val="0"/>
          <w:divBdr>
            <w:top w:val="none" w:sz="0" w:space="0" w:color="auto"/>
            <w:left w:val="none" w:sz="0" w:space="0" w:color="auto"/>
            <w:bottom w:val="none" w:sz="0" w:space="0" w:color="auto"/>
            <w:right w:val="none" w:sz="0" w:space="0" w:color="auto"/>
          </w:divBdr>
          <w:divsChild>
            <w:div w:id="1116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0678">
      <w:bodyDiv w:val="1"/>
      <w:marLeft w:val="0"/>
      <w:marRight w:val="0"/>
      <w:marTop w:val="0"/>
      <w:marBottom w:val="0"/>
      <w:divBdr>
        <w:top w:val="none" w:sz="0" w:space="0" w:color="auto"/>
        <w:left w:val="none" w:sz="0" w:space="0" w:color="auto"/>
        <w:bottom w:val="none" w:sz="0" w:space="0" w:color="auto"/>
        <w:right w:val="none" w:sz="0" w:space="0" w:color="auto"/>
      </w:divBdr>
      <w:divsChild>
        <w:div w:id="655230387">
          <w:marLeft w:val="547"/>
          <w:marRight w:val="0"/>
          <w:marTop w:val="96"/>
          <w:marBottom w:val="0"/>
          <w:divBdr>
            <w:top w:val="none" w:sz="0" w:space="0" w:color="auto"/>
            <w:left w:val="none" w:sz="0" w:space="0" w:color="auto"/>
            <w:bottom w:val="none" w:sz="0" w:space="0" w:color="auto"/>
            <w:right w:val="none" w:sz="0" w:space="0" w:color="auto"/>
          </w:divBdr>
        </w:div>
      </w:divsChild>
    </w:div>
    <w:div w:id="1056078909">
      <w:bodyDiv w:val="1"/>
      <w:marLeft w:val="0"/>
      <w:marRight w:val="0"/>
      <w:marTop w:val="0"/>
      <w:marBottom w:val="0"/>
      <w:divBdr>
        <w:top w:val="none" w:sz="0" w:space="0" w:color="auto"/>
        <w:left w:val="none" w:sz="0" w:space="0" w:color="auto"/>
        <w:bottom w:val="none" w:sz="0" w:space="0" w:color="auto"/>
        <w:right w:val="none" w:sz="0" w:space="0" w:color="auto"/>
      </w:divBdr>
      <w:divsChild>
        <w:div w:id="564293818">
          <w:marLeft w:val="0"/>
          <w:marRight w:val="0"/>
          <w:marTop w:val="0"/>
          <w:marBottom w:val="0"/>
          <w:divBdr>
            <w:top w:val="none" w:sz="0" w:space="0" w:color="auto"/>
            <w:left w:val="none" w:sz="0" w:space="0" w:color="auto"/>
            <w:bottom w:val="none" w:sz="0" w:space="0" w:color="auto"/>
            <w:right w:val="none" w:sz="0" w:space="0" w:color="auto"/>
          </w:divBdr>
          <w:divsChild>
            <w:div w:id="1796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37864">
      <w:bodyDiv w:val="1"/>
      <w:marLeft w:val="0"/>
      <w:marRight w:val="0"/>
      <w:marTop w:val="0"/>
      <w:marBottom w:val="0"/>
      <w:divBdr>
        <w:top w:val="none" w:sz="0" w:space="0" w:color="auto"/>
        <w:left w:val="none" w:sz="0" w:space="0" w:color="auto"/>
        <w:bottom w:val="none" w:sz="0" w:space="0" w:color="auto"/>
        <w:right w:val="none" w:sz="0" w:space="0" w:color="auto"/>
      </w:divBdr>
      <w:divsChild>
        <w:div w:id="443572163">
          <w:marLeft w:val="547"/>
          <w:marRight w:val="0"/>
          <w:marTop w:val="96"/>
          <w:marBottom w:val="0"/>
          <w:divBdr>
            <w:top w:val="none" w:sz="0" w:space="0" w:color="auto"/>
            <w:left w:val="none" w:sz="0" w:space="0" w:color="auto"/>
            <w:bottom w:val="none" w:sz="0" w:space="0" w:color="auto"/>
            <w:right w:val="none" w:sz="0" w:space="0" w:color="auto"/>
          </w:divBdr>
        </w:div>
        <w:div w:id="1347438962">
          <w:marLeft w:val="547"/>
          <w:marRight w:val="0"/>
          <w:marTop w:val="96"/>
          <w:marBottom w:val="0"/>
          <w:divBdr>
            <w:top w:val="none" w:sz="0" w:space="0" w:color="auto"/>
            <w:left w:val="none" w:sz="0" w:space="0" w:color="auto"/>
            <w:bottom w:val="none" w:sz="0" w:space="0" w:color="auto"/>
            <w:right w:val="none" w:sz="0" w:space="0" w:color="auto"/>
          </w:divBdr>
        </w:div>
        <w:div w:id="1478306392">
          <w:marLeft w:val="547"/>
          <w:marRight w:val="0"/>
          <w:marTop w:val="96"/>
          <w:marBottom w:val="0"/>
          <w:divBdr>
            <w:top w:val="none" w:sz="0" w:space="0" w:color="auto"/>
            <w:left w:val="none" w:sz="0" w:space="0" w:color="auto"/>
            <w:bottom w:val="none" w:sz="0" w:space="0" w:color="auto"/>
            <w:right w:val="none" w:sz="0" w:space="0" w:color="auto"/>
          </w:divBdr>
        </w:div>
        <w:div w:id="174148599">
          <w:marLeft w:val="547"/>
          <w:marRight w:val="0"/>
          <w:marTop w:val="96"/>
          <w:marBottom w:val="0"/>
          <w:divBdr>
            <w:top w:val="none" w:sz="0" w:space="0" w:color="auto"/>
            <w:left w:val="none" w:sz="0" w:space="0" w:color="auto"/>
            <w:bottom w:val="none" w:sz="0" w:space="0" w:color="auto"/>
            <w:right w:val="none" w:sz="0" w:space="0" w:color="auto"/>
          </w:divBdr>
        </w:div>
        <w:div w:id="178083830">
          <w:marLeft w:val="547"/>
          <w:marRight w:val="0"/>
          <w:marTop w:val="96"/>
          <w:marBottom w:val="0"/>
          <w:divBdr>
            <w:top w:val="none" w:sz="0" w:space="0" w:color="auto"/>
            <w:left w:val="none" w:sz="0" w:space="0" w:color="auto"/>
            <w:bottom w:val="none" w:sz="0" w:space="0" w:color="auto"/>
            <w:right w:val="none" w:sz="0" w:space="0" w:color="auto"/>
          </w:divBdr>
        </w:div>
        <w:div w:id="2143883317">
          <w:marLeft w:val="547"/>
          <w:marRight w:val="0"/>
          <w:marTop w:val="96"/>
          <w:marBottom w:val="0"/>
          <w:divBdr>
            <w:top w:val="none" w:sz="0" w:space="0" w:color="auto"/>
            <w:left w:val="none" w:sz="0" w:space="0" w:color="auto"/>
            <w:bottom w:val="none" w:sz="0" w:space="0" w:color="auto"/>
            <w:right w:val="none" w:sz="0" w:space="0" w:color="auto"/>
          </w:divBdr>
        </w:div>
      </w:divsChild>
    </w:div>
    <w:div w:id="1235972465">
      <w:bodyDiv w:val="1"/>
      <w:marLeft w:val="0"/>
      <w:marRight w:val="0"/>
      <w:marTop w:val="0"/>
      <w:marBottom w:val="0"/>
      <w:divBdr>
        <w:top w:val="none" w:sz="0" w:space="0" w:color="auto"/>
        <w:left w:val="none" w:sz="0" w:space="0" w:color="auto"/>
        <w:bottom w:val="none" w:sz="0" w:space="0" w:color="auto"/>
        <w:right w:val="none" w:sz="0" w:space="0" w:color="auto"/>
      </w:divBdr>
      <w:divsChild>
        <w:div w:id="509376923">
          <w:marLeft w:val="0"/>
          <w:marRight w:val="0"/>
          <w:marTop w:val="0"/>
          <w:marBottom w:val="0"/>
          <w:divBdr>
            <w:top w:val="none" w:sz="0" w:space="0" w:color="auto"/>
            <w:left w:val="none" w:sz="0" w:space="0" w:color="auto"/>
            <w:bottom w:val="none" w:sz="0" w:space="0" w:color="auto"/>
            <w:right w:val="none" w:sz="0" w:space="0" w:color="auto"/>
          </w:divBdr>
          <w:divsChild>
            <w:div w:id="1063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7196">
      <w:bodyDiv w:val="1"/>
      <w:marLeft w:val="0"/>
      <w:marRight w:val="0"/>
      <w:marTop w:val="0"/>
      <w:marBottom w:val="0"/>
      <w:divBdr>
        <w:top w:val="none" w:sz="0" w:space="0" w:color="auto"/>
        <w:left w:val="none" w:sz="0" w:space="0" w:color="auto"/>
        <w:bottom w:val="none" w:sz="0" w:space="0" w:color="auto"/>
        <w:right w:val="none" w:sz="0" w:space="0" w:color="auto"/>
      </w:divBdr>
      <w:divsChild>
        <w:div w:id="1535192015">
          <w:marLeft w:val="547"/>
          <w:marRight w:val="0"/>
          <w:marTop w:val="96"/>
          <w:marBottom w:val="0"/>
          <w:divBdr>
            <w:top w:val="none" w:sz="0" w:space="0" w:color="auto"/>
            <w:left w:val="none" w:sz="0" w:space="0" w:color="auto"/>
            <w:bottom w:val="none" w:sz="0" w:space="0" w:color="auto"/>
            <w:right w:val="none" w:sz="0" w:space="0" w:color="auto"/>
          </w:divBdr>
        </w:div>
        <w:div w:id="2085714874">
          <w:marLeft w:val="547"/>
          <w:marRight w:val="0"/>
          <w:marTop w:val="96"/>
          <w:marBottom w:val="0"/>
          <w:divBdr>
            <w:top w:val="none" w:sz="0" w:space="0" w:color="auto"/>
            <w:left w:val="none" w:sz="0" w:space="0" w:color="auto"/>
            <w:bottom w:val="none" w:sz="0" w:space="0" w:color="auto"/>
            <w:right w:val="none" w:sz="0" w:space="0" w:color="auto"/>
          </w:divBdr>
        </w:div>
      </w:divsChild>
    </w:div>
    <w:div w:id="1642613211">
      <w:bodyDiv w:val="1"/>
      <w:marLeft w:val="0"/>
      <w:marRight w:val="0"/>
      <w:marTop w:val="0"/>
      <w:marBottom w:val="0"/>
      <w:divBdr>
        <w:top w:val="none" w:sz="0" w:space="0" w:color="auto"/>
        <w:left w:val="none" w:sz="0" w:space="0" w:color="auto"/>
        <w:bottom w:val="none" w:sz="0" w:space="0" w:color="auto"/>
        <w:right w:val="none" w:sz="0" w:space="0" w:color="auto"/>
      </w:divBdr>
      <w:divsChild>
        <w:div w:id="1298798503">
          <w:marLeft w:val="0"/>
          <w:marRight w:val="0"/>
          <w:marTop w:val="0"/>
          <w:marBottom w:val="0"/>
          <w:divBdr>
            <w:top w:val="none" w:sz="0" w:space="0" w:color="auto"/>
            <w:left w:val="none" w:sz="0" w:space="0" w:color="auto"/>
            <w:bottom w:val="none" w:sz="0" w:space="0" w:color="auto"/>
            <w:right w:val="none" w:sz="0" w:space="0" w:color="auto"/>
          </w:divBdr>
          <w:divsChild>
            <w:div w:id="40398267">
              <w:marLeft w:val="0"/>
              <w:marRight w:val="0"/>
              <w:marTop w:val="0"/>
              <w:marBottom w:val="0"/>
              <w:divBdr>
                <w:top w:val="none" w:sz="0" w:space="0" w:color="auto"/>
                <w:left w:val="none" w:sz="0" w:space="0" w:color="auto"/>
                <w:bottom w:val="none" w:sz="0" w:space="0" w:color="auto"/>
                <w:right w:val="none" w:sz="0" w:space="0" w:color="auto"/>
              </w:divBdr>
              <w:divsChild>
                <w:div w:id="6106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ekditnet.d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jekditnet.dk" TargetMode="External"/><Relationship Id="rId12" Type="http://schemas.openxmlformats.org/officeDocument/2006/relationships/hyperlink" Target="http://www.teleindu.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dk/digital/kommuner-hoevler-knaster-for-at-faa-bedre-mobildaekning" TargetMode="External"/><Relationship Id="rId11" Type="http://schemas.openxmlformats.org/officeDocument/2006/relationships/hyperlink" Target="mailto:post@teleindu.d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teleindu.dk/revision-af-logningsregler/" TargetMode="External"/><Relationship Id="rId4" Type="http://schemas.openxmlformats.org/officeDocument/2006/relationships/webSettings" Target="webSettings.xml"/><Relationship Id="rId9" Type="http://schemas.openxmlformats.org/officeDocument/2006/relationships/hyperlink" Target="http://www.teleindu.dk/digital-infrastruktur-i-bygninger/"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774</Words>
  <Characters>4722</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Jakob Willer</cp:lastModifiedBy>
  <cp:revision>3</cp:revision>
  <cp:lastPrinted>2014-11-27T09:43:00Z</cp:lastPrinted>
  <dcterms:created xsi:type="dcterms:W3CDTF">2015-03-30T21:06:00Z</dcterms:created>
  <dcterms:modified xsi:type="dcterms:W3CDTF">2015-03-30T22:14:00Z</dcterms:modified>
</cp:coreProperties>
</file>