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left"/>
        <w:rPr>
          <w:rFonts w:ascii="Arial" w:hAnsi="Arial" w:cs="Arial" w:eastAsia="Arial"/>
          <w:b/>
          <w:color w:val="000000"/>
          <w:spacing w:val="5"/>
          <w:position w:val="0"/>
          <w:sz w:val="26"/>
          <w:shd w:fill="auto" w:val="clear"/>
        </w:rPr>
      </w:pPr>
    </w:p>
    <w:p>
      <w:pPr>
        <w:spacing w:before="0" w:after="300" w:line="240"/>
        <w:ind w:right="0" w:left="0" w:firstLine="0"/>
        <w:jc w:val="left"/>
        <w:rPr>
          <w:rFonts w:ascii="Arial" w:hAnsi="Arial" w:cs="Arial" w:eastAsia="Arial"/>
          <w:b/>
          <w:color w:val="000000"/>
          <w:spacing w:val="5"/>
          <w:position w:val="0"/>
          <w:sz w:val="26"/>
          <w:shd w:fill="auto" w:val="clear"/>
        </w:rPr>
      </w:pPr>
    </w:p>
    <w:p>
      <w:pPr>
        <w:spacing w:before="0" w:after="300" w:line="240"/>
        <w:ind w:right="0" w:left="0" w:firstLine="0"/>
        <w:jc w:val="left"/>
        <w:rPr>
          <w:rFonts w:ascii="Arial" w:hAnsi="Arial" w:cs="Arial" w:eastAsia="Arial"/>
          <w:b/>
          <w:color w:val="000000"/>
          <w:spacing w:val="5"/>
          <w:position w:val="0"/>
          <w:sz w:val="26"/>
          <w:shd w:fill="auto" w:val="clear"/>
        </w:rPr>
      </w:pPr>
    </w:p>
    <w:p>
      <w:pPr>
        <w:spacing w:before="0" w:after="300" w:line="240"/>
        <w:ind w:right="0" w:left="0" w:firstLine="0"/>
        <w:jc w:val="left"/>
        <w:rPr>
          <w:rFonts w:ascii="Arial" w:hAnsi="Arial" w:cs="Arial" w:eastAsia="Arial"/>
          <w:b/>
          <w:color w:val="000000"/>
          <w:spacing w:val="5"/>
          <w:position w:val="0"/>
          <w:sz w:val="26"/>
          <w:shd w:fill="auto" w:val="clear"/>
        </w:rPr>
      </w:pPr>
      <w:r>
        <w:rPr>
          <w:rFonts w:ascii="Arial" w:hAnsi="Arial" w:cs="Arial" w:eastAsia="Arial"/>
          <w:b/>
          <w:color w:val="000000"/>
          <w:spacing w:val="5"/>
          <w:position w:val="0"/>
          <w:sz w:val="26"/>
          <w:shd w:fill="auto" w:val="clear"/>
        </w:rPr>
        <w:t xml:space="preserve">Referat fra møde den 24. marts 2017 i TI's netneutralitetsforum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Deltagere: Jakob Willer (TI), Søren Johansen (Telenor), Stig Myken (Hiper), Morten Morten Baadsgaard DDE), Christian Berg (DE), Ann Louise Vogensen (Hi3G), Andres Thomsen Microsoft, Anders, Ilyas Dogru (Forbrugerådet TÆNK), Peter H. Pedersen (ENS). </w:t>
      </w:r>
    </w:p>
    <w:p>
      <w:pPr>
        <w:spacing w:before="100" w:after="100" w:line="240"/>
        <w:ind w:right="0" w:left="0" w:firstLine="0"/>
        <w:jc w:val="left"/>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1. Godkendelse af dagsorden</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Dagorden blev godkendt.</w:t>
      </w:r>
    </w:p>
    <w:p>
      <w:pPr>
        <w:spacing w:before="100" w:after="100" w:line="240"/>
        <w:ind w:right="0" w:left="0" w:firstLine="0"/>
        <w:jc w:val="left"/>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2. Godkendelse af kommissorium </w:t>
        <w:br/>
      </w:r>
      <w:r>
        <w:rPr>
          <w:rFonts w:ascii="Verdana" w:hAnsi="Verdana" w:cs="Verdana" w:eastAsia="Verdana"/>
          <w:color w:val="000000"/>
          <w:spacing w:val="0"/>
          <w:position w:val="0"/>
          <w:sz w:val="20"/>
          <w:shd w:fill="auto" w:val="clear"/>
        </w:rPr>
        <w:t xml:space="preserve">Det fremsendte udkast til kommissorium blev godkendt med en enkelt justering. I afsnit 2 om deltagere ændres ”Forbrugerrådet” til ”Forbrugerådet TÆNK”. Det endelige kommissorium er vedlagt. </w:t>
      </w:r>
    </w:p>
    <w:p>
      <w:pPr>
        <w:spacing w:before="100" w:after="100" w:line="240"/>
        <w:ind w:right="0" w:left="0" w:firstLine="0"/>
        <w:jc w:val="left"/>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3. Bordrunde</w:t>
        <w:br/>
      </w:r>
      <w:r>
        <w:rPr>
          <w:rFonts w:ascii="Verdana" w:hAnsi="Verdana" w:cs="Verdana" w:eastAsia="Verdana"/>
          <w:color w:val="000000"/>
          <w:spacing w:val="0"/>
          <w:position w:val="0"/>
          <w:sz w:val="20"/>
          <w:shd w:fill="auto" w:val="clear"/>
        </w:rPr>
        <w:t xml:space="preserve">Ingen af deltagerne havde noget at rapportere om.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4. Drøftelse af Tesla-klagen</w:t>
        <w:br/>
      </w:r>
      <w:r>
        <w:rPr>
          <w:rFonts w:ascii="Verdana" w:hAnsi="Verdana" w:cs="Verdana" w:eastAsia="Verdana"/>
          <w:color w:val="000000"/>
          <w:spacing w:val="0"/>
          <w:position w:val="0"/>
          <w:sz w:val="20"/>
          <w:shd w:fill="auto" w:val="clear"/>
        </w:rPr>
        <w:t xml:space="preserve">Jakob Willer (JW) oplyste indledningsvis om Tesla-sagen. JW oplyste, at John Strand har sendt en klage til tilsynsmyndighederne i Sverige og Holland, da det er John Strands opfattelse, at Tesla tilbyder zero-rating i strid med netneutralitetsreglerne. Baggrunden herfor er, at der er et SIM-kort i selskabets biler, og at kunderne får gratis adgang til musiktjenesten, Spotify. John Strand har gjort gældende, at Tesla er en MNVO, og at bilen i denne sammenhæng er at anse som et håndsæt (smartphone on wheels).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Energistyrelsen (ENS) oplyste, at det fremgår af BEREC’s retningslinjer, at tjenester, som giver adgang til et begrænset antal af endepunkter på internettet pga. karakteren af det anvendte terminaludstyr, er undtaget fra netneutralitetsreglerne. Det kan fx. være tjenester designet til kommunikation med e-bogslæsere som Amazon's Kindle, intelligente elmålere el.lign. Der vil ikke her være tale om en (almindelig) internetadgangstjeneste omfattet af netneutralitetsreglerne. ENS kunne ikke umiddelbart vurdere, om Teslas tjeneste var omfattet af denne undtagelse.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Der var enighed om, at deltagerne noterede sig Tesla-sagen og vil følge op på sagen, når der måtte komme noget mere herom.</w:t>
      </w:r>
    </w:p>
    <w:p>
      <w:pPr>
        <w:spacing w:before="100" w:after="100" w:line="240"/>
        <w:ind w:right="0" w:left="0" w:firstLine="0"/>
        <w:jc w:val="left"/>
        <w:rPr>
          <w:rFonts w:ascii="Verdana" w:hAnsi="Verdana" w:cs="Verdana" w:eastAsia="Verdana"/>
          <w:b/>
          <w:color w:val="000000"/>
          <w:spacing w:val="0"/>
          <w:position w:val="0"/>
          <w:sz w:val="20"/>
          <w:shd w:fill="auto" w:val="clear"/>
        </w:rPr>
      </w:pPr>
      <w:r>
        <w:rPr>
          <w:rFonts w:ascii="Verdana" w:hAnsi="Verdana" w:cs="Verdana" w:eastAsia="Verdana"/>
          <w:b/>
          <w:color w:val="000000"/>
          <w:spacing w:val="0"/>
          <w:position w:val="0"/>
          <w:sz w:val="20"/>
          <w:shd w:fill="auto" w:val="clear"/>
        </w:rPr>
        <w:t xml:space="preserve">5. Oplæg v. Energistyrelsen om status og foreløbige erfaringer med NN-reglerne, guidelines og dataindsamling (ENS præsentation er vedlagt)</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Proces: ENS oplyste kort om processen, fra at forordningens regler begyndte at finde anvendelse den 30. april 2016 og frem til juni 2017, hvor den årlige afrapportering til BEREC og Kommissionen skal finde sted.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Erfaringer: ENS oplyste, at styrelsen har modtaget én henvendelse, som vedrørte zero-rating. Der var ikke tale om en egentlig klage, men mere et spørgsmål fra en interesseret borger. ENS havde i den pågældende sag udtalt, at der ud fra en samlet vurdering af bl.a. den pågældende udbyders markedsandel samt tilgængeligheden af alternative tjenester på markedet ikke var sket et brud på reglerne om netneutralitet.</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Klageprocedurer: ISP’erne skal oprette en klageprocedure. ENS oplyste, at ISP’erne ikke behøver at etablere specifikke klageprocedurer for sager vedr. netnenutralitet. Selskaberne kan anvende de almindelige klageprocedurer, som de allerede har, hvis de i øvrigt lever op til reglerne i forordningen.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Zero-rating: ENS oplyste, at zero-rating kan være OK, hvis slutbrugernes valgmuligheder ikke begrænses. Aftaler om pris, datamængder og hastigheder er tilladt, men skal være tjenesteneutrale.  ENS henviste i øvrigt til BEREC’s retningslinjer, som indeholder en række kriterier, som indgår i vurderingen af, om sådanne aftaler er i overensstemmelse med netneutralitetsreglerne. Der kigges bl.a. på størrelsen af datapakkerne, ISP’ens markedsposition og betydningen for slutbrugerens valgmuligheder. Det vil i det enkelte tilfælde bero på en konkret vurdering.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ENS gennemgik herefter nogle afgørelser i andre lande omkring zero-rating.</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Holland: Her var datapakkerne meget små samtidig med, at det var meget dyrt at komme ud over det købte dataforbrug. Kunden ville i dette tilfælde have et meget lille incitament til at anvende en anden indholdsleverandør end den, som er zero-rated. Derfor er der generel stor modstand mod zero-rating i Holland.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Sverige: Når kunden havde opbrugt sit dataforbrug, havde kunden fortsat adgang til en række musiktjenester og sociale medier. PTS fastslog, at netneutralitetsforordningen udtømmende har gjort op med, hvornår ISP’en må fravige det gældende princip om ligebehandling af internettrafik. Når datapakken er opbrugt, må ISP’en ikke give adgang til udvalgte tjenester, men skal slukke for alt internettrafik. Undtagelsen hertil er, at ISP’en (fortsat) godt må give adgang til udbyderens hjemmeside, så kunden kan købe mere data.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ENS oplyste, at ovenstående også gælder i de tilfælde, hvor ISP’en vælger at skrue ned for hastighederne, når kunden har opbrugt sit dataforbrug. Her skal ISP’en skrue ned for hastigheden for alle tjenester, dvs. alt internettrafik.</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Belgien: Kunden havde mulighed for at zero-rate en tjeneste valgt fra en liste med seks tjenester. Dette var i orden, da ISP’en behandlede alle tjenester ens, når dataloftet blev nået. Når ISP’en lukkede for data, lukkede denne også for den zero-ratede tjeneste. Tilsynsmyndigheden lagde i sagen vægt på, at ISP’ens abonnement ikke påvirkede slutbrugerens rettigheder, herunder retten til frit at anvende tjenester efter eget valg. Samtidig havde kunden mulighed for at få en anden udbyder.</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Ungarn: ISP’en tilbød et abonnement med ubegrænset adgang til visse video-tjenester. Da andre video- og streamingstjenester havde ikke adgang til samme vilkår, og da der ikke blev blokeret for de zero-ratede tjenester, når datapakken var opbrugt, fandt tilsynsmyndighederne, at abonnementet var i strid med netneutralitetsforordningen. ENS oplyste, at ISP’ens markedsposition og det forhold, at video-tjenester er datatunge, også kan have haft indflydelse på, hvorfor tilsynsmyndighederne kom til et andet resultat end i Belgien.</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i/>
          <w:color w:val="000000"/>
          <w:spacing w:val="0"/>
          <w:position w:val="0"/>
          <w:sz w:val="20"/>
          <w:shd w:fill="auto" w:val="clear"/>
        </w:rPr>
        <w:t xml:space="preserve">Dataindsamling</w:t>
        <w:br/>
      </w:r>
      <w:r>
        <w:rPr>
          <w:rFonts w:ascii="Verdana" w:hAnsi="Verdana" w:cs="Verdana" w:eastAsia="Verdana"/>
          <w:color w:val="000000"/>
          <w:spacing w:val="0"/>
          <w:position w:val="0"/>
          <w:sz w:val="20"/>
          <w:shd w:fill="auto" w:val="clear"/>
        </w:rPr>
        <w:t xml:space="preserve">ENS oplyste, at styrelsen sender spørgeskemaer ud til en række udbydere af internettjenester i Danmark. Udbyderne er udvalgt efter en række kriterier, som fremgår af vedlagte præsentation. ENS oplyste, at det kommer til at omfatte 40-50 virksomheder. Spørgsmålene udsendes i starten af næste uge med frist for svar sidst i april. Resultaterne vil indgå i DK’s årlige afrapportering til Kommissionen og BEREC.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6 Evt. </w:t>
        <w:br/>
        <w:t xml:space="preserve">JW oplyste, at TI vil udarbejde udkast til årsrapport om netneutralitet, som vil blive sendt i høring hos deltagerne med en høringsfrist på 1 uge. Årsrapporten vil blive lagt på TI’s hjemmeside.</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Der var enighed om, at næste møde skulle ligge i efteråret. </w:t>
      </w:r>
    </w:p>
    <w:p>
      <w:pPr>
        <w:spacing w:before="100" w:after="100" w:line="240"/>
        <w:ind w:right="0" w:left="0" w:firstLine="0"/>
        <w:jc w:val="left"/>
        <w:rPr>
          <w:rFonts w:ascii="Verdana" w:hAnsi="Verdana" w:cs="Verdana" w:eastAsia="Verdana"/>
          <w:color w:val="000000"/>
          <w:spacing w:val="0"/>
          <w:position w:val="0"/>
          <w:sz w:val="20"/>
          <w:shd w:fill="auto" w:val="clear"/>
        </w:rPr>
      </w:pPr>
      <w:r>
        <w:rPr>
          <w:rFonts w:ascii="Verdana" w:hAnsi="Verdana" w:cs="Verdana" w:eastAsia="Verdana"/>
          <w:color w:val="000000"/>
          <w:spacing w:val="0"/>
          <w:position w:val="0"/>
          <w:sz w:val="20"/>
          <w:shd w:fill="auto" w:val="clear"/>
        </w:rPr>
        <w:t xml:space="preserve">Jakob Willer oplyste, at deltagerlisten skal opdateres. </w:t>
      </w:r>
    </w:p>
    <w:p>
      <w:pPr>
        <w:spacing w:before="100" w:after="100" w:line="240"/>
        <w:ind w:right="0" w:left="0" w:firstLine="0"/>
        <w:jc w:val="left"/>
        <w:rPr>
          <w:rFonts w:ascii="Verdana" w:hAnsi="Verdana" w:cs="Verdana" w:eastAsia="Verdana"/>
          <w:color w:val="000000"/>
          <w:spacing w:val="0"/>
          <w:position w:val="0"/>
          <w:sz w:val="20"/>
          <w:shd w:fill="auto" w:val="clear"/>
        </w:rPr>
      </w:pPr>
    </w:p>
    <w:p>
      <w:pPr>
        <w:spacing w:before="100" w:after="100" w:line="240"/>
        <w:ind w:right="0" w:left="0" w:firstLine="0"/>
        <w:jc w:val="left"/>
        <w:rPr>
          <w:rFonts w:ascii="Verdana" w:hAnsi="Verdana" w:cs="Verdana" w:eastAsia="Verdana"/>
          <w:color w:val="000000"/>
          <w:spacing w:val="0"/>
          <w:position w:val="0"/>
          <w:sz w:val="20"/>
          <w:shd w:fill="auto" w:val="clear"/>
        </w:rPr>
      </w:pPr>
    </w:p>
    <w:p>
      <w:pPr>
        <w:spacing w:before="100" w:after="100" w:line="240"/>
        <w:ind w:right="0" w:left="0" w:firstLine="0"/>
        <w:jc w:val="left"/>
        <w:rPr>
          <w:rFonts w:ascii="Verdana" w:hAnsi="Verdana" w:cs="Verdana" w:eastAsia="Verdana"/>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