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righ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TI Slutbrugergruppen </w:t>
      </w:r>
    </w:p>
    <w:p>
      <w:pPr>
        <w:spacing w:before="0" w:after="0" w:line="280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24. april 2017</w:t>
      </w:r>
    </w:p>
    <w:p>
      <w:pPr>
        <w:keepNext w:val="true"/>
        <w:keepLines w:val="true"/>
        <w:spacing w:before="0" w:after="60" w:line="28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9"/>
          <w:shd w:fill="auto" w:val="clear"/>
        </w:rPr>
      </w:pPr>
    </w:p>
    <w:tbl>
      <w:tblPr>
        <w:tblInd w:w="50" w:type="dxa"/>
      </w:tblPr>
      <w:tblGrid>
        <w:gridCol w:w="7441"/>
      </w:tblGrid>
      <w:tr>
        <w:trPr>
          <w:trHeight w:val="1515" w:hRule="auto"/>
          <w:jc w:val="left"/>
        </w:trPr>
        <w:tc>
          <w:tcPr>
            <w:tcW w:w="74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tabs>
                <w:tab w:val="left" w:pos="7371" w:leader="none"/>
                <w:tab w:val="right" w:pos="9356" w:leader="none"/>
              </w:tabs>
              <w:spacing w:before="0" w:after="0" w:line="240"/>
              <w:ind w:right="-2481" w:left="0" w:firstLine="0"/>
              <w:jc w:val="left"/>
              <w:rPr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4903" w:dyaOrig="1835">
                <v:rect xmlns:o="urn:schemas-microsoft-com:office:office" xmlns:v="urn:schemas-microsoft-com:vml" id="rectole0000000000" style="width:245.150000pt;height:91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spacing w:before="0" w:after="0" w:line="28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9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1985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Obligatorisk klagevejledning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kort instruks til klagesagsbehandlere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BAGGRUND: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Når et teleselskab giver en kunde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skriftligt svar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på en henvendelse om kundens abonnement, og kunden ikke får ret, er vi forpligtet til at give klagevejledning til kunden. 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Reglen gælder også, selvom kunden ikke bruger ordet ”klage” i sin henvendelse.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Hvornår skal der gives klagevejledning i et skriftligt svar?: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-&gt; Når du ikke giver kunden ret. </w:t>
        <w:br/>
        <w:t xml:space="preserve">-&gt; Når du kun giver kunden delvist ret.</w:t>
      </w: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-&gt; Når kunden kræver noget, og du ikke kan imødekomme kravet.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-&gt; Når dit svar kan gøre kunden utilfreds.</w:t>
        <w:br/>
      </w: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AKTION: 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Kort og godt skal det sikres, at følgende klagevejledning gives i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 skriftlige svar, som kan gøre kunden utilfreds: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2835" w:leader="none"/>
          <w:tab w:val="left" w:pos="3402" w:leader="none"/>
        </w:tabs>
        <w:spacing w:before="0" w:after="0" w:line="276"/>
        <w:ind w:right="991" w:left="2835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Hvis du ikke er tilfreds med vores afgørelse, kan du klage til: Teleankenævnet, Axeltorv 6, 3th, 1609 København V, telefon: 33 18 69 00, </w:t>
      </w:r>
      <w:hyperlink xmlns:r="http://schemas.openxmlformats.org/officeDocument/2006/relationships" r:id="docRId2">
        <w:r>
          <w:rPr>
            <w:rFonts w:ascii="Verdana" w:hAnsi="Verdana" w:cs="Verdana" w:eastAsia="Verdana"/>
            <w:i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www.teleanke.dk</w:t>
        </w:r>
      </w:hyperlink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. [Din regning [nr. XX] er nu sat i bero i fire uger fra dags dato.]</w:t>
      </w:r>
    </w:p>
    <w:p>
      <w:pPr>
        <w:spacing w:before="0" w:after="0" w:line="276"/>
        <w:ind w:right="991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Teksten i kantet parentes skal kun med i klagevejledningen, hvis klagen vedrører en regning. </w:t>
      </w:r>
    </w:p>
    <w:p>
      <w:pPr>
        <w:spacing w:before="0" w:after="0" w:line="276"/>
        <w:ind w:right="0" w:left="198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NB: I skriftlige svar er vejledning om at klage til teleselskabets egen klageafdeling ikke tilstrækkeligt. </w:t>
      </w: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yderligere info: Se artikel på Teleindustriens hjemmeside: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http://www.teleindu.dk/branchesamarbejde/klagevejledning/</w:t>
        </w:r>
      </w:hyperlink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19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teleindu.dk/branchesamarbejde/klagevejledning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teleanke.dk/" Id="docRId2" Type="http://schemas.openxmlformats.org/officeDocument/2006/relationships/hyperlink" /><Relationship Target="numbering.xml" Id="docRId4" Type="http://schemas.openxmlformats.org/officeDocument/2006/relationships/numbering" /></Relationships>
</file>