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Kommuner kan bidrage til at styrke bredbånds- og mobildækningen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er i Danmark nået meget langt med udrulningen af den digitale infrastruktur. Det gælder både for mobildækningen og for bredbånd, at vi generelt har en meget høj tilgængelighed og en veludbygget infrastruktur.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ikke alle steder er der endnu en infrastruktur, der møder brugernes behov og ønsker om hastigheder, og ikke alle steder er der fuld dækning fra mobilnettene.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Mange kommuner efterspørger derfor viden om, hvad man kan gøre for at styrke den lokale dækning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både når det drejer sig om bredbånd, og når det drejer sig om mobildækning.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Energistyrelsen har for at imødekomme dette behov udarbejdet en ”Guide til bedre mobil- og bredbåndsdækning”. Guiden kan findes her: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https://ens.dk/ansvarsomraader/bredbaand/guide-til-bedre-mobil-og-bredbaandsdaekning</w:t>
        </w:r>
      </w:hyperlink>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Udbygningen af mobil- og bredbåndsdækningen i Danmark er stærkt afhængig af, at der er et godt og konstruktivt samarbejde mellem branchens aktører og landets kommuner. Kommunerne spiller en vigtig rolle både som myndighed, der håndterer administrationen på graveområdet og udsteder gravetilladelser, håndterer ansøgninger om etablering af mobilmaster og mobilantenner og udlejer jord og arealer til brug for den digitale infrastruktur i kommunen.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er behov for løbende udbygninger af infrastrukturen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også i områder, der i dag synes velforsynet. Det handler derfor for kommunerne i høj grad om at skabe gode betingelser for udbygningen af dækningen og kapaciteten i nettene og udbygning med nye teknologier for at imødekomme brugernes voksende efterspørgsel.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er vigtigt, at der alle steder i landet er attraktive vilkår for udrulning af den digitale infrastruktur, og at der i fokus på at rydde barrierer væk og reducere omkostningerne ved udbygning af infrastrukturen.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udgangspunkt i Energistyrelsens guide og vejledning til kommunerne har Teleindustrien i det følgende skitseret, hvordan telebranchen gerne ser samarbejdet med kommunerne som grundlag for en bedre og mere effektiv udrulning af både bredbånd og mobildækning i Danmark. I punktform skitseres, hvilke skridt en kommune kan tage for fremadrettet at skabe grundlaget for en mere veludbygget og fremtidssikret digital infrastruktur.</w:t>
      </w:r>
    </w:p>
    <w:p>
      <w:pPr>
        <w:numPr>
          <w:ilvl w:val="0"/>
          <w:numId w:val="2"/>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Fjerne barrierer og reducere omkostninger</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Teleselskaber oplever, at der på tværs af kommuner kan være meget forskelligartede procedurer og vilkår på både graveområdet og masteområdet, og at der i kommuners administration og praksis kan være barrierer for en effektiv udbygning. Teleindustrien anbefaler derfor, at der i alle regioner på tværs af kommuner tages initiativ til at sikre et mere ensartet administrationsgrundlag på både graveområdet og masteområdet i form af fælles politikker, og at der tages initiativ til på tværs af kommuner at anvende samme grundlag for beregning af arealleje til den digitale infrastruktur. Konkret anbefales kommuner at anvende model 1 i Energistyrelsens vejledning om fastsættelse af markedsleje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https://ens.dk/sites/ens.dk/files/Tele/vejledning_om_markedsleje_version_2015.pdf</w:t>
        </w:r>
      </w:hyperlink>
      <w:r>
        <w:rPr>
          <w:rFonts w:ascii="Calibri" w:hAnsi="Calibri" w:cs="Calibri" w:eastAsia="Calibri"/>
          <w:color w:val="auto"/>
          <w:spacing w:val="0"/>
          <w:position w:val="0"/>
          <w:sz w:val="22"/>
          <w:shd w:fill="auto" w:val="clear"/>
        </w:rPr>
        <w:t xml:space="preserve"> Denne model tager udgangspunkt i den offentlige vurdering af et areal eller facilitet, som et objektivt grundlag for lejefastsættelsen. Både i Region Sjælland og i Nordjylland er der taget initiativer til udarbejdelse af fælles grave- og mastepolitikker og anbefalinger om anvendelse af model 1 i Energistyrelsens vejledning. </w:t>
      </w:r>
    </w:p>
    <w:p>
      <w:pPr>
        <w:numPr>
          <w:ilvl w:val="0"/>
          <w:numId w:val="4"/>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Offentlig understøttelse af bredbånds- og mobiludbygningen </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Kommunerne har en række redskaber, der kan bidrage til at stimulere udbygningen af den digitale infrastruktur.</w:t>
      </w:r>
    </w:p>
    <w:p>
      <w:pPr>
        <w:numPr>
          <w:ilvl w:val="0"/>
          <w:numId w:val="6"/>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Bygge bro mellem marked og borgerne - understøtte lokale initiativer</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mange tilfælde er udbygning af infrastrukturen afhængig af, om der er et tilstrækkeligt antal kunder, der ønsker en ny løsning. Kommuner kan bidrage til at hjælpe lokale initiativer med at mobilisere interesse. Og kommunen kan bidrage til at skabe synlighed om lokale initiativer og efterspørgslen efter nye bredbåndsløsninger over for markedets aktører. Et godt eksempel på, hvordan dette kan gøres er Guldborgsund Kommune, der har etableret en digital platform, hvor lokale projekter kan synliggøre deres initiativ, skabe opbakning og synliggøre sig over for bredbåndsudbydere. Læs mere om dette initiativ her: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http://www.guldborgsund.dk/da/Borger/UDVIKLING_I_KOMMUNEN/Projekter/Bedre_bredbaand.aspx</w:t>
        </w:r>
      </w:hyperlink>
      <w:r>
        <w:rPr>
          <w:rFonts w:ascii="Calibri" w:hAnsi="Calibri" w:cs="Calibri" w:eastAsia="Calibri"/>
          <w:color w:val="auto"/>
          <w:spacing w:val="0"/>
          <w:position w:val="0"/>
          <w:sz w:val="22"/>
          <w:shd w:fill="auto" w:val="clear"/>
        </w:rPr>
        <w:t xml:space="preserve"> </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forbindelse med denne type aktivitet er det helt centralt, at kommunen holder sig teknologineutral og stiller alle aktører på markedet lige. Endvidere er det nødvendigt i forbindelse med aktiviteter, der vedrører mobilisering af interesse for nye bredbåndsprojekter, at være meget opmærksom på dørsalgsloven og respektere denne. Tiltag til at bygge bro mellem markedet og borgerne, der ønsker nye bredbåndsløsninger kan også ses i sammenhæng med forskellige selskabers egne bredbåndspuljer og landdistriktsinitiativer, hvor realiseringen af et projekt er afhængig af et minimum antal tilslutninger. </w:t>
      </w:r>
    </w:p>
    <w:p>
      <w:pPr>
        <w:numPr>
          <w:ilvl w:val="0"/>
          <w:numId w:val="8"/>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Statens bredbåndspulje</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Projekter, der forbereder sig og søger bredbåndspuljen, har ved denne aktivitet skabt markant forbedrede muligheder for at opnå nye bredbåndsløsninger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også på rene markedsvilkår, hvis det ikke lykkes at opnå støtte. Det er der allerede flere eksempler på. Kommuner kan i forbindelse med bredbåndspuljen vælge at give støtte (kommunal medfinansiering) til de projekter, som måtte opnå støtte fra puljen. Kommunal medfinansiering er en relativ enkel måde for en kommune at støtte udrulningen uden selv at skulle foretage kortlægning og analyser i relation til statsstøttereglerne, da dette håndteres af statslige myndigheder.</w:t>
      </w:r>
    </w:p>
    <w:p>
      <w:pPr>
        <w:numPr>
          <w:ilvl w:val="0"/>
          <w:numId w:val="10"/>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Dækningskrav i forbindelse med udbud</w:t>
      </w:r>
    </w:p>
    <w:p>
      <w:pPr>
        <w:spacing w:before="0" w:after="160" w:line="259"/>
        <w:ind w:right="0" w:left="144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Når kommuner gennemfører udbud på teleydelser til eget brug, kan der stilles dækningskrav af hensyn til kommunens eget behov, hvilket kan være med til at forbedre dækningen for også borgere og virksomheder. Krav ved indkøb kan vedrøre både mobildækning og bredbånd. Denne type udbud kan gennemføres på tværs af flere kommuner. Det er vigtigt at hver enkelt udbud kun stiller krav indenfor den teknologi </w:t>
      </w:r>
      <w:r>
        <w:rPr>
          <w:rFonts w:ascii="Calibri" w:hAnsi="Calibri" w:cs="Calibri" w:eastAsia="Calibri"/>
          <w:color w:val="auto"/>
          <w:spacing w:val="0"/>
          <w:position w:val="0"/>
          <w:sz w:val="22"/>
          <w:shd w:fill="auto" w:val="clear"/>
        </w:rPr>
        <w:t xml:space="preserve">(mobil eller bredbånd)</w:t>
      </w:r>
      <w:r>
        <w:rPr>
          <w:rFonts w:ascii="Calibri" w:hAnsi="Calibri" w:cs="Calibri" w:eastAsia="Calibri"/>
          <w:color w:val="auto"/>
          <w:spacing w:val="0"/>
          <w:position w:val="0"/>
          <w:sz w:val="22"/>
          <w:shd w:fill="auto" w:val="clear"/>
        </w:rPr>
        <w:t xml:space="preserve">, som ydelsen i udbuddet faktisk drejer sig om, og at dette ikke er bundlede ydelser, da det vil udelukke potentielle bydere.</w:t>
      </w:r>
    </w:p>
    <w:p>
      <w:pPr>
        <w:numPr>
          <w:ilvl w:val="0"/>
          <w:numId w:val="12"/>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Udbud med dækningskrav til erhvervsformål</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Kommuner kan gennemføre udbud med krav om dækning i områder, hvor dækningen er mindre god for at fremme erhvervsudviklingen. Modellen kan anvendes for både mobildækning og bredbånd. Anvendes denne model kræver det en nøje analyse af dækningen i et område og afdækning af markedsaktørernes planer. Det er vigtigt at hver enkelt udbud kun stiller krav indenfor den teknologi (mobil eller bredbånd), som ydelsen i udbuddet faktisk drejer sig om, og at dette ikke er bundlede ydelser, da det vil udelukke potentielle bydere.</w:t>
      </w:r>
    </w:p>
    <w:p>
      <w:pPr>
        <w:numPr>
          <w:ilvl w:val="0"/>
          <w:numId w:val="14"/>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Etablering af passiv infrastruktur</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Kommuner kan udrulle kommunalt ejet passiv infrastruktur som en erhvervsudviklingsaktivitet. Det gælder både tomrør og master, der kan anvendes til trådløs bredbånd, wifi og mobiludstyr. Denne model kræver en nøje analyse af dækningen i et område og afdækning af markedsaktørernes planer, for ikke at fortrænge private investeringer eller skævvride markedet. Etablering af master som passiv infrastruktur og anlæggelse af tomrør bør alene ske efter en proces med inddragelse markedsaktørerne, hvor de identificerede problemområder analyseres nærmere. </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Når en kommune ønsker at tage initiativ til forbedring af mobildækningen kan der arrangeres et møde med Teleindustriens Rejsehold. Møder med Rejseholdet kan aftales via Teleindustriens sekretariat. Se nærmere her </w:t>
      </w:r>
      <w:hyperlink xmlns:r="http://schemas.openxmlformats.org/officeDocument/2006/relationships" r:id="docRId3">
        <w:r>
          <w:rPr>
            <w:rFonts w:ascii="Calibri" w:hAnsi="Calibri" w:cs="Calibri" w:eastAsia="Calibri"/>
            <w:color w:val="0563C1"/>
            <w:spacing w:val="0"/>
            <w:position w:val="0"/>
            <w:sz w:val="22"/>
            <w:u w:val="single"/>
            <w:shd w:fill="auto" w:val="clear"/>
          </w:rPr>
          <w:t xml:space="preserve">www.teleindu.dk</w:t>
        </w:r>
      </w:hyperlink>
      <w:r>
        <w:rPr>
          <w:rFonts w:ascii="Calibri" w:hAnsi="Calibri" w:cs="Calibri" w:eastAsia="Calibri"/>
          <w:color w:val="auto"/>
          <w:spacing w:val="0"/>
          <w:position w:val="0"/>
          <w:sz w:val="22"/>
          <w:shd w:fill="auto" w:val="clear"/>
        </w:rPr>
        <w:t xml:space="preserve"> </w:t>
      </w:r>
    </w:p>
    <w:p>
      <w:pPr>
        <w:numPr>
          <w:ilvl w:val="0"/>
          <w:numId w:val="16"/>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Fremme af samgravning</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Generelt er det positivt, hvis en kommune kan fremme og koordinere samgravningsaktiviteter på tværs mellem aktører og sektorer. Ved at samgrave reduceres omkostninger betragteligt, og samgravning kan muliggøre, at der føres infrastruktur ud i et område, som ikke ellers ville blive forsynet. Dialog og koordination mellem alle forsyningsejere kan være ”nøglen” til at skabe størst mulig fælles interesse og nytteværdi af de fælles graveprojekter. </w:t>
      </w:r>
    </w:p>
    <w:p>
      <w:pPr>
        <w:numPr>
          <w:ilvl w:val="0"/>
          <w:numId w:val="18"/>
        </w:numPr>
        <w:spacing w:before="0" w:after="160" w:line="259"/>
        <w:ind w:right="0" w:left="144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Kortlægning af infrastruktur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tab/>
      </w:r>
      <w:r>
        <w:rPr>
          <w:rFonts w:ascii="Calibri" w:hAnsi="Calibri" w:cs="Calibri" w:eastAsia="Calibri"/>
          <w:color w:val="auto"/>
          <w:spacing w:val="0"/>
          <w:position w:val="0"/>
          <w:sz w:val="22"/>
          <w:shd w:fill="auto" w:val="clear"/>
        </w:rPr>
        <w:t xml:space="preserve">Det er en god idé for en kommune at kortlægge kommunens egen </w:t>
        <w:tab/>
        <w:tab/>
        <w:tab/>
        <w:t xml:space="preserve">infrastruktur og skabe størst mulig gennemsigtighed over for markedets </w:t>
        <w:tab/>
        <w:tab/>
        <w:t xml:space="preserve">aktører om mulighederne for at få adgang til denne. </w:t>
      </w: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Generelt fremmer det ikke markedets incitamenter til udbygning af den digitale infrastruktur, når en kommune selv anlægger infrastruktur. Kommuner bør i videst muligt omfang understøtte private operatørers udbygning og udbredelse ved at fokusere på at outsource alle dele af det offentliges kommunikationsinfrastruktur. </w:t>
        <w:tab/>
        <w:tab/>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22"/>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Principper for kommunale aktiviteter</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er særdeles positivt, når kommuner er digital ambitiøse og ønsker at fremme udbygningen og brugen af den digitale infrastruktur. Samtidig er det vigtigt, at kommunale aktiviteter på området er neutrale i forhold til forskellige aktører og teknologier, og at man fra kommunal side er meget opmærksom på at overholde gældende regler. Generelt opfordres kommunerne i deres aktiviteter til at følge principperne om at:</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understøtte markedet</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være teknologineutrale</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sikre, at aktiviteter ikke er konkurrenceforvridende </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sikre at kommunale aktiviteter ikke fortrænger private investeringer  </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aktiviteter skal overholde eksisterende lovgivning (fx EU- statsstøtteregler, erhvervsfremmeregler, udbudsregler - og anden national lovgivning). </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sikre fuld gennemsigtighed og åbenhed i aktiviteter</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fremme dialog og konstruktivt samarbejde med markedets aktører </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sikre at udbud er åbne og konkurrencebetonede, således at flere private aktører reelt kan byde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2">
    <w:abstractNumId w:val="60"/>
  </w:num>
  <w:num w:numId="4">
    <w:abstractNumId w:val="54"/>
  </w:num>
  <w:num w:numId="6">
    <w:abstractNumId w:val="48"/>
  </w:num>
  <w:num w:numId="8">
    <w:abstractNumId w:val="42"/>
  </w:num>
  <w:num w:numId="10">
    <w:abstractNumId w:val="36"/>
  </w:num>
  <w:num w:numId="12">
    <w:abstractNumId w:val="30"/>
  </w:num>
  <w:num w:numId="14">
    <w:abstractNumId w:val="24"/>
  </w:num>
  <w:num w:numId="16">
    <w:abstractNumId w:val="18"/>
  </w:num>
  <w:num w:numId="18">
    <w:abstractNumId w:val="12"/>
  </w:num>
  <w:num w:numId="22">
    <w:abstractNumId w:val="6"/>
  </w: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ns.dk/sites/ens.dk/files/Tele/vejledning_om_markedsleje_version_2015.pdf" Id="docRId1" Type="http://schemas.openxmlformats.org/officeDocument/2006/relationships/hyperlink" /><Relationship TargetMode="External" Target="http://www.teleindu.dk/" Id="docRId3" Type="http://schemas.openxmlformats.org/officeDocument/2006/relationships/hyperlink" /><Relationship Target="styles.xml" Id="docRId5" Type="http://schemas.openxmlformats.org/officeDocument/2006/relationships/styles" /><Relationship TargetMode="External" Target="https://ens.dk/ansvarsomraader/bredbaand/guide-til-bedre-mobil-og-bredbaandsdaekning" Id="docRId0" Type="http://schemas.openxmlformats.org/officeDocument/2006/relationships/hyperlink" /><Relationship TargetMode="External" Target="http://www.guldborgsund.dk/da/Borger/UDVIKLING_I_KOMMUNEN/Projekter/Bedre_bredbaand.aspx" Id="docRId2" Type="http://schemas.openxmlformats.org/officeDocument/2006/relationships/hyperlink" /><Relationship Target="numbering.xml" Id="docRId4" Type="http://schemas.openxmlformats.org/officeDocument/2006/relationships/numbering" /></Relationships>
</file>